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EF8F" w14:textId="499F092E" w:rsidR="00D275CD" w:rsidRPr="00605514" w:rsidRDefault="00D275CD">
      <w:pPr>
        <w:rPr>
          <w:rFonts w:ascii="Work Sans" w:hAnsi="Work Sans"/>
        </w:rPr>
      </w:pPr>
    </w:p>
    <w:p w14:paraId="697042EB" w14:textId="77777777" w:rsidR="00605514" w:rsidRDefault="00605514">
      <w:pPr>
        <w:rPr>
          <w:rFonts w:ascii="Work Sans" w:hAnsi="Work Sans"/>
        </w:rPr>
      </w:pPr>
    </w:p>
    <w:p w14:paraId="7622F795" w14:textId="23D28724" w:rsidR="00D3495C" w:rsidRPr="00D3495C" w:rsidRDefault="00D3495C" w:rsidP="00D3495C">
      <w:pPr>
        <w:jc w:val="center"/>
        <w:rPr>
          <w:rFonts w:ascii="Work Sans" w:hAnsi="Work Sans"/>
          <w:b/>
          <w:bCs/>
        </w:rPr>
      </w:pPr>
      <w:r w:rsidRPr="00D3495C">
        <w:rPr>
          <w:rFonts w:ascii="Work Sans" w:hAnsi="Work Sans"/>
          <w:b/>
          <w:bCs/>
        </w:rPr>
        <w:t>GENÉTICA MÉDICA</w:t>
      </w:r>
    </w:p>
    <w:p w14:paraId="0F55CBB7" w14:textId="77777777" w:rsidR="00D3495C" w:rsidRDefault="00D3495C">
      <w:pPr>
        <w:rPr>
          <w:rFonts w:ascii="Work Sans" w:hAnsi="Work Sans"/>
        </w:rPr>
      </w:pPr>
    </w:p>
    <w:p w14:paraId="674D0F7B" w14:textId="11A35385" w:rsidR="00D3495C" w:rsidRPr="00D3495C" w:rsidRDefault="00D3495C">
      <w:pPr>
        <w:rPr>
          <w:rFonts w:ascii="Work Sans" w:hAnsi="Work Sans"/>
          <w:b/>
          <w:bCs/>
        </w:rPr>
      </w:pPr>
      <w:r w:rsidRPr="00D3495C">
        <w:rPr>
          <w:rFonts w:ascii="Work Sans" w:hAnsi="Work Sans"/>
          <w:b/>
          <w:bCs/>
        </w:rPr>
        <w:t>LISTA A</w:t>
      </w:r>
    </w:p>
    <w:p w14:paraId="46C1EA56" w14:textId="77777777" w:rsidR="00D3495C" w:rsidRPr="00605514" w:rsidRDefault="00D3495C">
      <w:pPr>
        <w:rPr>
          <w:rFonts w:ascii="Work Sans" w:hAnsi="Work Sans"/>
        </w:rPr>
      </w:pPr>
    </w:p>
    <w:tbl>
      <w:tblPr>
        <w:tblW w:w="5900" w:type="dxa"/>
        <w:shd w:val="clear" w:color="auto" w:fill="FFFFFF"/>
        <w:tblCellMar>
          <w:left w:w="0" w:type="dxa"/>
          <w:right w:w="0" w:type="dxa"/>
        </w:tblCellMar>
        <w:tblLook w:val="04A0" w:firstRow="1" w:lastRow="0" w:firstColumn="1" w:lastColumn="0" w:noHBand="0" w:noVBand="1"/>
      </w:tblPr>
      <w:tblGrid>
        <w:gridCol w:w="5900"/>
      </w:tblGrid>
      <w:tr w:rsidR="00D3495C" w:rsidRPr="00D3495C" w14:paraId="46670C51" w14:textId="77777777" w:rsidTr="00D3495C">
        <w:trPr>
          <w:trHeight w:val="300"/>
        </w:trPr>
        <w:tc>
          <w:tcPr>
            <w:tcW w:w="5900" w:type="dxa"/>
            <w:shd w:val="clear" w:color="auto" w:fill="FFFFFF"/>
            <w:noWrap/>
            <w:tcMar>
              <w:top w:w="0" w:type="dxa"/>
              <w:left w:w="70" w:type="dxa"/>
              <w:bottom w:w="0" w:type="dxa"/>
              <w:right w:w="70" w:type="dxa"/>
            </w:tcMar>
            <w:vAlign w:val="bottom"/>
            <w:hideMark/>
          </w:tcPr>
          <w:p w14:paraId="6ECCEB2D" w14:textId="77777777" w:rsidR="00D3495C" w:rsidRPr="00D3495C" w:rsidRDefault="00D3495C" w:rsidP="00D3495C">
            <w:pPr>
              <w:rPr>
                <w:rFonts w:ascii="Work Sans" w:eastAsia="Times New Roman" w:hAnsi="Work Sans" w:cs="Arial"/>
                <w:color w:val="222222"/>
                <w:kern w:val="0"/>
                <w:sz w:val="19"/>
                <w:szCs w:val="19"/>
                <w:lang w:eastAsia="pt-PT"/>
                <w14:ligatures w14:val="none"/>
              </w:rPr>
            </w:pPr>
            <w:r w:rsidRPr="00D3495C">
              <w:rPr>
                <w:rFonts w:ascii="Work Sans" w:eastAsia="Times New Roman" w:hAnsi="Work Sans" w:cs="Arial"/>
                <w:color w:val="000000"/>
                <w:kern w:val="0"/>
                <w:sz w:val="19"/>
                <w:szCs w:val="19"/>
                <w:lang w:eastAsia="pt-PT"/>
                <w14:ligatures w14:val="none"/>
              </w:rPr>
              <w:t>ANA BERTA DA FONSECA VIEIRA ALVARES E SOUSA FERRAND DE ALMEIDA</w:t>
            </w:r>
          </w:p>
        </w:tc>
      </w:tr>
      <w:tr w:rsidR="00D3495C" w:rsidRPr="00D3495C" w14:paraId="778E9699" w14:textId="77777777" w:rsidTr="00D3495C">
        <w:trPr>
          <w:trHeight w:val="300"/>
        </w:trPr>
        <w:tc>
          <w:tcPr>
            <w:tcW w:w="5900" w:type="dxa"/>
            <w:shd w:val="clear" w:color="auto" w:fill="FFFFFF"/>
            <w:noWrap/>
            <w:tcMar>
              <w:top w:w="0" w:type="dxa"/>
              <w:left w:w="70" w:type="dxa"/>
              <w:bottom w:w="0" w:type="dxa"/>
              <w:right w:w="70" w:type="dxa"/>
            </w:tcMar>
            <w:vAlign w:val="bottom"/>
            <w:hideMark/>
          </w:tcPr>
          <w:p w14:paraId="7A5059B6" w14:textId="77777777" w:rsidR="00D3495C" w:rsidRPr="00D3495C" w:rsidRDefault="00D3495C" w:rsidP="00D3495C">
            <w:pPr>
              <w:rPr>
                <w:rFonts w:ascii="Work Sans" w:eastAsia="Times New Roman" w:hAnsi="Work Sans" w:cs="Arial"/>
                <w:color w:val="222222"/>
                <w:kern w:val="0"/>
                <w:sz w:val="19"/>
                <w:szCs w:val="19"/>
                <w:lang w:eastAsia="pt-PT"/>
                <w14:ligatures w14:val="none"/>
              </w:rPr>
            </w:pPr>
            <w:r w:rsidRPr="00D3495C">
              <w:rPr>
                <w:rFonts w:ascii="Work Sans" w:eastAsia="Times New Roman" w:hAnsi="Work Sans" w:cs="Arial"/>
                <w:color w:val="000000"/>
                <w:kern w:val="0"/>
                <w:sz w:val="19"/>
                <w:szCs w:val="19"/>
                <w:lang w:eastAsia="pt-PT"/>
                <w14:ligatures w14:val="none"/>
              </w:rPr>
              <w:t>FABIANA VIANA RAMOS</w:t>
            </w:r>
          </w:p>
        </w:tc>
      </w:tr>
      <w:tr w:rsidR="00D3495C" w:rsidRPr="00D3495C" w14:paraId="5651FB38" w14:textId="77777777" w:rsidTr="00D3495C">
        <w:trPr>
          <w:trHeight w:val="300"/>
        </w:trPr>
        <w:tc>
          <w:tcPr>
            <w:tcW w:w="5900" w:type="dxa"/>
            <w:shd w:val="clear" w:color="auto" w:fill="FFFFFF"/>
            <w:noWrap/>
            <w:tcMar>
              <w:top w:w="0" w:type="dxa"/>
              <w:left w:w="70" w:type="dxa"/>
              <w:bottom w:w="0" w:type="dxa"/>
              <w:right w:w="70" w:type="dxa"/>
            </w:tcMar>
            <w:vAlign w:val="bottom"/>
            <w:hideMark/>
          </w:tcPr>
          <w:p w14:paraId="3434529C" w14:textId="77777777" w:rsidR="00D3495C" w:rsidRPr="00D3495C" w:rsidRDefault="00D3495C" w:rsidP="00D3495C">
            <w:pPr>
              <w:rPr>
                <w:rFonts w:ascii="Work Sans" w:eastAsia="Times New Roman" w:hAnsi="Work Sans" w:cs="Arial"/>
                <w:color w:val="222222"/>
                <w:kern w:val="0"/>
                <w:sz w:val="19"/>
                <w:szCs w:val="19"/>
                <w:lang w:eastAsia="pt-PT"/>
                <w14:ligatures w14:val="none"/>
              </w:rPr>
            </w:pPr>
            <w:r w:rsidRPr="00D3495C">
              <w:rPr>
                <w:rFonts w:ascii="Work Sans" w:eastAsia="Times New Roman" w:hAnsi="Work Sans" w:cs="Arial"/>
                <w:color w:val="000000"/>
                <w:kern w:val="0"/>
                <w:sz w:val="19"/>
                <w:szCs w:val="19"/>
                <w:lang w:eastAsia="pt-PT"/>
                <w14:ligatures w14:val="none"/>
              </w:rPr>
              <w:t>INÊS SEQUEIRA DE CARVALHO</w:t>
            </w:r>
          </w:p>
        </w:tc>
      </w:tr>
      <w:tr w:rsidR="00D3495C" w:rsidRPr="00D3495C" w14:paraId="2C30844A" w14:textId="77777777" w:rsidTr="00D3495C">
        <w:trPr>
          <w:trHeight w:val="300"/>
        </w:trPr>
        <w:tc>
          <w:tcPr>
            <w:tcW w:w="5900" w:type="dxa"/>
            <w:shd w:val="clear" w:color="auto" w:fill="FFFFFF"/>
            <w:noWrap/>
            <w:tcMar>
              <w:top w:w="0" w:type="dxa"/>
              <w:left w:w="70" w:type="dxa"/>
              <w:bottom w:w="0" w:type="dxa"/>
              <w:right w:w="70" w:type="dxa"/>
            </w:tcMar>
            <w:vAlign w:val="bottom"/>
            <w:hideMark/>
          </w:tcPr>
          <w:p w14:paraId="221F774D" w14:textId="77777777" w:rsidR="00D3495C" w:rsidRPr="00D3495C" w:rsidRDefault="00D3495C" w:rsidP="00D3495C">
            <w:pPr>
              <w:rPr>
                <w:rFonts w:ascii="Work Sans" w:eastAsia="Times New Roman" w:hAnsi="Work Sans" w:cs="Arial"/>
                <w:color w:val="222222"/>
                <w:kern w:val="0"/>
                <w:sz w:val="19"/>
                <w:szCs w:val="19"/>
                <w:lang w:eastAsia="pt-PT"/>
                <w14:ligatures w14:val="none"/>
              </w:rPr>
            </w:pPr>
            <w:r w:rsidRPr="00D3495C">
              <w:rPr>
                <w:rFonts w:ascii="Work Sans" w:eastAsia="Times New Roman" w:hAnsi="Work Sans" w:cs="Arial"/>
                <w:color w:val="000000"/>
                <w:kern w:val="0"/>
                <w:sz w:val="19"/>
                <w:szCs w:val="19"/>
                <w:lang w:eastAsia="pt-PT"/>
                <w14:ligatures w14:val="none"/>
              </w:rPr>
              <w:t>JOÃO NUNO PARENTE FREIXO</w:t>
            </w:r>
          </w:p>
        </w:tc>
      </w:tr>
      <w:tr w:rsidR="00D3495C" w:rsidRPr="00D3495C" w14:paraId="7D1260E3" w14:textId="77777777" w:rsidTr="00D3495C">
        <w:trPr>
          <w:trHeight w:val="300"/>
        </w:trPr>
        <w:tc>
          <w:tcPr>
            <w:tcW w:w="5900" w:type="dxa"/>
            <w:shd w:val="clear" w:color="auto" w:fill="FFFFFF"/>
            <w:noWrap/>
            <w:tcMar>
              <w:top w:w="0" w:type="dxa"/>
              <w:left w:w="70" w:type="dxa"/>
              <w:bottom w:w="0" w:type="dxa"/>
              <w:right w:w="70" w:type="dxa"/>
            </w:tcMar>
            <w:vAlign w:val="bottom"/>
            <w:hideMark/>
          </w:tcPr>
          <w:p w14:paraId="5C4FD104" w14:textId="77777777" w:rsidR="00D3495C" w:rsidRPr="00D3495C" w:rsidRDefault="00D3495C" w:rsidP="00D3495C">
            <w:pPr>
              <w:rPr>
                <w:rFonts w:ascii="Work Sans" w:eastAsia="Times New Roman" w:hAnsi="Work Sans" w:cs="Arial"/>
                <w:color w:val="222222"/>
                <w:kern w:val="0"/>
                <w:sz w:val="19"/>
                <w:szCs w:val="19"/>
                <w:lang w:eastAsia="pt-PT"/>
                <w14:ligatures w14:val="none"/>
              </w:rPr>
            </w:pPr>
            <w:r w:rsidRPr="00D3495C">
              <w:rPr>
                <w:rFonts w:ascii="Work Sans" w:eastAsia="Times New Roman" w:hAnsi="Work Sans" w:cs="Arial"/>
                <w:color w:val="000000"/>
                <w:kern w:val="0"/>
                <w:sz w:val="19"/>
                <w:szCs w:val="19"/>
                <w:lang w:eastAsia="pt-PT"/>
                <w14:ligatures w14:val="none"/>
              </w:rPr>
              <w:t>JOÃO PAULO FERREIRA DA SILVA OLIVEIRA</w:t>
            </w:r>
          </w:p>
        </w:tc>
      </w:tr>
      <w:tr w:rsidR="00D3495C" w:rsidRPr="00D3495C" w14:paraId="5B81D609" w14:textId="77777777" w:rsidTr="00D3495C">
        <w:trPr>
          <w:trHeight w:val="300"/>
        </w:trPr>
        <w:tc>
          <w:tcPr>
            <w:tcW w:w="5900" w:type="dxa"/>
            <w:shd w:val="clear" w:color="auto" w:fill="FFFFFF"/>
            <w:noWrap/>
            <w:tcMar>
              <w:top w:w="0" w:type="dxa"/>
              <w:left w:w="70" w:type="dxa"/>
              <w:bottom w:w="0" w:type="dxa"/>
              <w:right w:w="70" w:type="dxa"/>
            </w:tcMar>
            <w:vAlign w:val="bottom"/>
            <w:hideMark/>
          </w:tcPr>
          <w:p w14:paraId="451BEDE2" w14:textId="77777777" w:rsidR="00D3495C" w:rsidRPr="00D3495C" w:rsidRDefault="00D3495C" w:rsidP="00D3495C">
            <w:pPr>
              <w:rPr>
                <w:rFonts w:ascii="Work Sans" w:eastAsia="Times New Roman" w:hAnsi="Work Sans" w:cs="Arial"/>
                <w:color w:val="222222"/>
                <w:kern w:val="0"/>
                <w:sz w:val="19"/>
                <w:szCs w:val="19"/>
                <w:lang w:eastAsia="pt-PT"/>
                <w14:ligatures w14:val="none"/>
              </w:rPr>
            </w:pPr>
            <w:r w:rsidRPr="00D3495C">
              <w:rPr>
                <w:rFonts w:ascii="Work Sans" w:eastAsia="Times New Roman" w:hAnsi="Work Sans" w:cs="Arial"/>
                <w:color w:val="000000"/>
                <w:kern w:val="0"/>
                <w:sz w:val="19"/>
                <w:szCs w:val="19"/>
                <w:lang w:eastAsia="pt-PT"/>
                <w14:ligatures w14:val="none"/>
              </w:rPr>
              <w:t>JORGE MANUEL TAVARES LOPES DE ANDRADE SARAIVA</w:t>
            </w:r>
          </w:p>
        </w:tc>
      </w:tr>
      <w:tr w:rsidR="00D3495C" w:rsidRPr="00D3495C" w14:paraId="6986A7A9" w14:textId="77777777" w:rsidTr="00D3495C">
        <w:trPr>
          <w:trHeight w:val="300"/>
        </w:trPr>
        <w:tc>
          <w:tcPr>
            <w:tcW w:w="5900" w:type="dxa"/>
            <w:shd w:val="clear" w:color="auto" w:fill="FFFFFF"/>
            <w:noWrap/>
            <w:tcMar>
              <w:top w:w="0" w:type="dxa"/>
              <w:left w:w="70" w:type="dxa"/>
              <w:bottom w:w="0" w:type="dxa"/>
              <w:right w:w="70" w:type="dxa"/>
            </w:tcMar>
            <w:vAlign w:val="bottom"/>
            <w:hideMark/>
          </w:tcPr>
          <w:p w14:paraId="1EFCF66E" w14:textId="77777777" w:rsidR="00D3495C" w:rsidRPr="00D3495C" w:rsidRDefault="00D3495C" w:rsidP="00D3495C">
            <w:pPr>
              <w:rPr>
                <w:rFonts w:ascii="Work Sans" w:eastAsia="Times New Roman" w:hAnsi="Work Sans" w:cs="Arial"/>
                <w:color w:val="222222"/>
                <w:kern w:val="0"/>
                <w:sz w:val="19"/>
                <w:szCs w:val="19"/>
                <w:lang w:eastAsia="pt-PT"/>
                <w14:ligatures w14:val="none"/>
              </w:rPr>
            </w:pPr>
            <w:r w:rsidRPr="00D3495C">
              <w:rPr>
                <w:rFonts w:ascii="Work Sans" w:eastAsia="Times New Roman" w:hAnsi="Work Sans" w:cs="Arial"/>
                <w:color w:val="000000"/>
                <w:kern w:val="0"/>
                <w:sz w:val="19"/>
                <w:szCs w:val="19"/>
                <w:lang w:eastAsia="pt-PT"/>
                <w14:ligatures w14:val="none"/>
              </w:rPr>
              <w:t>NATALIYA TKACHENKO</w:t>
            </w:r>
          </w:p>
        </w:tc>
      </w:tr>
    </w:tbl>
    <w:p w14:paraId="6DDAE618" w14:textId="77777777" w:rsidR="00D3495C" w:rsidRPr="00D3495C" w:rsidRDefault="00D3495C" w:rsidP="00D3495C">
      <w:pPr>
        <w:shd w:val="clear" w:color="auto" w:fill="FFFFFF"/>
        <w:rPr>
          <w:rFonts w:ascii="Work Sans" w:eastAsia="Times New Roman" w:hAnsi="Work Sans" w:cs="Times New Roman"/>
          <w:color w:val="222222"/>
          <w:kern w:val="0"/>
          <w:sz w:val="19"/>
          <w:szCs w:val="19"/>
          <w:lang w:eastAsia="pt-PT"/>
          <w14:ligatures w14:val="none"/>
        </w:rPr>
      </w:pPr>
      <w:r w:rsidRPr="00D3495C">
        <w:rPr>
          <w:rFonts w:ascii="Work Sans" w:eastAsia="Times New Roman" w:hAnsi="Work Sans" w:cs="Times New Roman"/>
          <w:b/>
          <w:bCs/>
          <w:color w:val="222222"/>
          <w:kern w:val="0"/>
          <w:sz w:val="19"/>
          <w:szCs w:val="19"/>
          <w:lang w:eastAsia="pt-PT"/>
          <w14:ligatures w14:val="none"/>
        </w:rPr>
        <w:t>Suplente</w:t>
      </w:r>
    </w:p>
    <w:p w14:paraId="01BA0F8C" w14:textId="77777777" w:rsidR="00D3495C" w:rsidRPr="00D3495C" w:rsidRDefault="00D3495C" w:rsidP="00D3495C">
      <w:pPr>
        <w:shd w:val="clear" w:color="auto" w:fill="FFFFFF"/>
        <w:rPr>
          <w:rFonts w:ascii="Work Sans" w:eastAsia="Times New Roman" w:hAnsi="Work Sans" w:cs="Times New Roman"/>
          <w:color w:val="222222"/>
          <w:kern w:val="0"/>
          <w:sz w:val="19"/>
          <w:szCs w:val="19"/>
          <w:lang w:eastAsia="pt-PT"/>
          <w14:ligatures w14:val="none"/>
        </w:rPr>
      </w:pPr>
      <w:r w:rsidRPr="00D3495C">
        <w:rPr>
          <w:rFonts w:ascii="Work Sans" w:eastAsia="Times New Roman" w:hAnsi="Work Sans" w:cs="Times New Roman"/>
          <w:color w:val="000000"/>
          <w:kern w:val="0"/>
          <w:sz w:val="19"/>
          <w:szCs w:val="19"/>
          <w:lang w:eastAsia="pt-PT"/>
          <w14:ligatures w14:val="none"/>
        </w:rPr>
        <w:t>ALEXANDRA MICAELA GOMES VIEIRA GONÇALVES DA ROCHA</w:t>
      </w:r>
    </w:p>
    <w:p w14:paraId="54748D1D" w14:textId="77777777" w:rsidR="00764BA7" w:rsidRDefault="00764BA7">
      <w:pPr>
        <w:rPr>
          <w:rFonts w:ascii="Work Sans" w:hAnsi="Work Sans"/>
        </w:rPr>
      </w:pPr>
    </w:p>
    <w:p w14:paraId="4DFAAA52" w14:textId="77777777" w:rsidR="00D3495C" w:rsidRPr="00D3495C" w:rsidRDefault="00D3495C" w:rsidP="00D3495C">
      <w:pPr>
        <w:jc w:val="center"/>
        <w:rPr>
          <w:rFonts w:cstheme="minorHAnsi"/>
          <w:b/>
          <w:bCs/>
        </w:rPr>
      </w:pPr>
      <w:r w:rsidRPr="00D3495C">
        <w:rPr>
          <w:rFonts w:cstheme="minorHAnsi"/>
          <w:b/>
          <w:bCs/>
        </w:rPr>
        <w:t>A lista candidata à direção do colégio da especialidade de Genética Médica da Ordem dos Médicos pretende atingir no decurso do seu mandato os seguintes objetivos:</w:t>
      </w:r>
    </w:p>
    <w:p w14:paraId="50BB4147" w14:textId="77777777" w:rsidR="00D3495C" w:rsidRDefault="00D3495C" w:rsidP="00D3495C">
      <w:pPr>
        <w:jc w:val="both"/>
        <w:rPr>
          <w:rFonts w:cstheme="minorHAnsi"/>
        </w:rPr>
      </w:pPr>
    </w:p>
    <w:p w14:paraId="3AC414A3" w14:textId="77777777" w:rsidR="00D3495C" w:rsidRPr="004C264C" w:rsidRDefault="00D3495C" w:rsidP="00D3495C">
      <w:pPr>
        <w:jc w:val="both"/>
        <w:rPr>
          <w:rFonts w:cstheme="minorHAnsi"/>
        </w:rPr>
      </w:pPr>
      <w:r w:rsidRPr="004C264C">
        <w:rPr>
          <w:rFonts w:cstheme="minorHAnsi"/>
        </w:rPr>
        <w:t>1.</w:t>
      </w:r>
      <w:r>
        <w:rPr>
          <w:rFonts w:cstheme="minorHAnsi"/>
        </w:rPr>
        <w:t xml:space="preserve"> </w:t>
      </w:r>
      <w:r>
        <w:rPr>
          <w:rFonts w:cstheme="minorHAnsi"/>
        </w:rPr>
        <w:tab/>
      </w:r>
      <w:r w:rsidRPr="004C264C">
        <w:rPr>
          <w:rFonts w:cstheme="minorHAnsi"/>
        </w:rPr>
        <w:t>Realização de uma Assembleia Geral nomeadamente como uma oportunidade para uma discussão alargada do ponto 2 (que o texto anexo pretende desde já iniciar)</w:t>
      </w:r>
      <w:r>
        <w:rPr>
          <w:rFonts w:cstheme="minorHAnsi"/>
        </w:rPr>
        <w:t>.</w:t>
      </w:r>
    </w:p>
    <w:p w14:paraId="0F5894DF" w14:textId="77777777" w:rsidR="00D3495C" w:rsidRDefault="00D3495C" w:rsidP="00D3495C">
      <w:pPr>
        <w:jc w:val="both"/>
      </w:pPr>
    </w:p>
    <w:p w14:paraId="347D408B" w14:textId="77777777" w:rsidR="00D3495C" w:rsidRDefault="00D3495C" w:rsidP="00D3495C">
      <w:pPr>
        <w:jc w:val="both"/>
        <w:rPr>
          <w:rFonts w:cstheme="minorHAnsi"/>
        </w:rPr>
      </w:pPr>
      <w:r>
        <w:rPr>
          <w:rFonts w:cstheme="minorHAnsi"/>
        </w:rPr>
        <w:t xml:space="preserve">2. </w:t>
      </w:r>
      <w:r>
        <w:rPr>
          <w:rFonts w:cstheme="minorHAnsi"/>
        </w:rPr>
        <w:tab/>
        <w:t xml:space="preserve">Formação médica pós-graduada no âmbito da especialidade de Genética Médica  </w:t>
      </w:r>
    </w:p>
    <w:p w14:paraId="4421ED70" w14:textId="77777777" w:rsidR="00D3495C" w:rsidRDefault="00D3495C" w:rsidP="00D3495C">
      <w:pPr>
        <w:jc w:val="both"/>
        <w:rPr>
          <w:rFonts w:cstheme="minorHAnsi"/>
        </w:rPr>
      </w:pPr>
      <w:r>
        <w:rPr>
          <w:rFonts w:cstheme="minorHAnsi"/>
        </w:rPr>
        <w:t xml:space="preserve">2.1 </w:t>
      </w:r>
      <w:r>
        <w:rPr>
          <w:rFonts w:cstheme="minorHAnsi"/>
        </w:rPr>
        <w:tab/>
        <w:t xml:space="preserve">Dar continuidade à revisão do programa de formação específica de Genética Médica caso esta ainda não tenha sido concluída (nº 1 do </w:t>
      </w:r>
      <w:proofErr w:type="spellStart"/>
      <w:r>
        <w:rPr>
          <w:rFonts w:cstheme="minorHAnsi"/>
        </w:rPr>
        <w:t>Art</w:t>
      </w:r>
      <w:proofErr w:type="spellEnd"/>
      <w:r>
        <w:rPr>
          <w:rFonts w:cstheme="minorHAnsi"/>
        </w:rPr>
        <w:t xml:space="preserve">º 23º do Regulamento do Internato Médico e nº 1 e 2 do </w:t>
      </w:r>
      <w:proofErr w:type="spellStart"/>
      <w:r>
        <w:rPr>
          <w:rFonts w:cstheme="minorHAnsi"/>
        </w:rPr>
        <w:t>Art</w:t>
      </w:r>
      <w:proofErr w:type="spellEnd"/>
      <w:r>
        <w:rPr>
          <w:rFonts w:cstheme="minorHAnsi"/>
        </w:rPr>
        <w:t>º 20º do Regulamento Geral dos Colégios de Especialidades e de Competências e das Seções de Subespecialidades da Ordem dos Médicos);</w:t>
      </w:r>
    </w:p>
    <w:p w14:paraId="364B35B6" w14:textId="77777777" w:rsidR="00D3495C" w:rsidRDefault="00D3495C" w:rsidP="00D3495C">
      <w:pPr>
        <w:jc w:val="both"/>
        <w:rPr>
          <w:rFonts w:cstheme="minorHAnsi"/>
        </w:rPr>
      </w:pPr>
      <w:r>
        <w:rPr>
          <w:rFonts w:cstheme="minorHAnsi"/>
        </w:rPr>
        <w:t>2.2</w:t>
      </w:r>
      <w:r>
        <w:rPr>
          <w:rFonts w:cstheme="minorHAnsi"/>
        </w:rPr>
        <w:tab/>
        <w:t>Proceder à revisão dos critérios de idoneidade e capacidade formativa (</w:t>
      </w:r>
      <w:proofErr w:type="spellStart"/>
      <w:r>
        <w:rPr>
          <w:rFonts w:cstheme="minorHAnsi"/>
        </w:rPr>
        <w:t>Art</w:t>
      </w:r>
      <w:proofErr w:type="spellEnd"/>
      <w:r>
        <w:rPr>
          <w:rFonts w:cstheme="minorHAnsi"/>
        </w:rPr>
        <w:t>º 26º e 27º do Regulamento do Internato Médico), tomando em consideração o que for decorrente da Lei nº9/2024 de 19 de janeiro;</w:t>
      </w:r>
    </w:p>
    <w:p w14:paraId="1D22647C" w14:textId="77777777" w:rsidR="00D3495C" w:rsidRDefault="00D3495C" w:rsidP="00D3495C">
      <w:pPr>
        <w:jc w:val="both"/>
        <w:rPr>
          <w:rFonts w:cstheme="minorHAnsi"/>
        </w:rPr>
      </w:pPr>
      <w:r>
        <w:rPr>
          <w:rFonts w:cstheme="minorHAnsi"/>
        </w:rPr>
        <w:t>2.3</w:t>
      </w:r>
      <w:r>
        <w:rPr>
          <w:rFonts w:cstheme="minorHAnsi"/>
        </w:rPr>
        <w:tab/>
        <w:t>Proceder à revisão das provas de avaliação final do internato, tomando em consideração o que for decorrente da Lei nº9/2024 de 19 de janeiro, nomeadamente:</w:t>
      </w:r>
    </w:p>
    <w:p w14:paraId="4B759FD2" w14:textId="77777777" w:rsidR="00D3495C" w:rsidRDefault="00D3495C" w:rsidP="00D3495C">
      <w:pPr>
        <w:ind w:firstLine="720"/>
        <w:jc w:val="both"/>
        <w:rPr>
          <w:rFonts w:cstheme="minorHAnsi"/>
        </w:rPr>
      </w:pPr>
      <w:r>
        <w:rPr>
          <w:rFonts w:cstheme="minorHAnsi"/>
        </w:rPr>
        <w:t xml:space="preserve">da grelha de avaliação da prova de discussão curricular (nº 3 a 5 do </w:t>
      </w:r>
      <w:proofErr w:type="spellStart"/>
      <w:r>
        <w:rPr>
          <w:rFonts w:cstheme="minorHAnsi"/>
        </w:rPr>
        <w:t>Art</w:t>
      </w:r>
      <w:proofErr w:type="spellEnd"/>
      <w:r>
        <w:rPr>
          <w:rFonts w:cstheme="minorHAnsi"/>
        </w:rPr>
        <w:t>º 71º do Regulamento do Internato Médico);</w:t>
      </w:r>
    </w:p>
    <w:p w14:paraId="7A810CA8" w14:textId="77777777" w:rsidR="00D3495C" w:rsidRDefault="00D3495C" w:rsidP="00D3495C">
      <w:pPr>
        <w:ind w:firstLine="720"/>
        <w:jc w:val="both"/>
        <w:rPr>
          <w:rFonts w:cstheme="minorHAnsi"/>
        </w:rPr>
      </w:pPr>
      <w:r>
        <w:rPr>
          <w:rFonts w:cstheme="minorHAnsi"/>
        </w:rPr>
        <w:t xml:space="preserve">da prova prática (nº 2 do </w:t>
      </w:r>
      <w:proofErr w:type="spellStart"/>
      <w:r>
        <w:rPr>
          <w:rFonts w:cstheme="minorHAnsi"/>
        </w:rPr>
        <w:t>Art</w:t>
      </w:r>
      <w:proofErr w:type="spellEnd"/>
      <w:r>
        <w:rPr>
          <w:rFonts w:cstheme="minorHAnsi"/>
        </w:rPr>
        <w:t>º 72º do Regulamento do Internato Médico no âmbito da revisão do programa de formação específica de Genética Médica);</w:t>
      </w:r>
    </w:p>
    <w:p w14:paraId="43CF9346" w14:textId="77777777" w:rsidR="00D3495C" w:rsidRDefault="00D3495C" w:rsidP="00D3495C">
      <w:pPr>
        <w:ind w:firstLine="720"/>
        <w:jc w:val="both"/>
        <w:rPr>
          <w:rFonts w:cstheme="minorHAnsi"/>
        </w:rPr>
      </w:pPr>
      <w:r>
        <w:rPr>
          <w:rFonts w:cstheme="minorHAnsi"/>
        </w:rPr>
        <w:t xml:space="preserve">e da prova teórica (nº 1 do </w:t>
      </w:r>
      <w:proofErr w:type="spellStart"/>
      <w:r>
        <w:rPr>
          <w:rFonts w:cstheme="minorHAnsi"/>
        </w:rPr>
        <w:t>Art</w:t>
      </w:r>
      <w:proofErr w:type="spellEnd"/>
      <w:r>
        <w:rPr>
          <w:rFonts w:cstheme="minorHAnsi"/>
        </w:rPr>
        <w:t>º 73º do Regulamento do Internato Médico no âmbito da revisão do programa de formação específica de Genética Médica).</w:t>
      </w:r>
    </w:p>
    <w:p w14:paraId="0D51C338" w14:textId="77777777" w:rsidR="00D3495C" w:rsidRDefault="00D3495C" w:rsidP="00D3495C">
      <w:pPr>
        <w:jc w:val="both"/>
        <w:rPr>
          <w:rFonts w:cstheme="minorHAnsi"/>
        </w:rPr>
      </w:pPr>
    </w:p>
    <w:p w14:paraId="611E2ED5" w14:textId="77777777" w:rsidR="00D3495C" w:rsidRDefault="00D3495C" w:rsidP="00D3495C">
      <w:pPr>
        <w:jc w:val="both"/>
        <w:rPr>
          <w:rFonts w:cstheme="minorHAnsi"/>
        </w:rPr>
      </w:pPr>
      <w:r>
        <w:rPr>
          <w:rFonts w:cstheme="minorHAnsi"/>
        </w:rPr>
        <w:t>3. Atividade assistencial no âmbito da especialidade de Genética Médica</w:t>
      </w:r>
    </w:p>
    <w:p w14:paraId="5DF78854" w14:textId="77777777" w:rsidR="00D3495C" w:rsidRDefault="00D3495C" w:rsidP="00D3495C">
      <w:pPr>
        <w:jc w:val="both"/>
        <w:rPr>
          <w:rFonts w:cstheme="minorHAnsi"/>
        </w:rPr>
      </w:pPr>
      <w:r>
        <w:rPr>
          <w:rFonts w:cstheme="minorHAnsi"/>
        </w:rPr>
        <w:t>Pedir ao Conselho Nacional Executivo da Ordem dos Médicos que solicite junto das entidades responsáveis a atualização da Rede de Referenciação Hospitalar de Genética Médica de 2005.</w:t>
      </w:r>
    </w:p>
    <w:p w14:paraId="7C35EE61" w14:textId="77777777" w:rsidR="00D3495C" w:rsidRDefault="00D3495C" w:rsidP="00D3495C">
      <w:pPr>
        <w:jc w:val="both"/>
        <w:rPr>
          <w:rFonts w:cstheme="minorHAnsi"/>
        </w:rPr>
      </w:pPr>
    </w:p>
    <w:p w14:paraId="7499372D" w14:textId="77777777" w:rsidR="00D3495C" w:rsidRDefault="00D3495C" w:rsidP="00D3495C">
      <w:pPr>
        <w:jc w:val="both"/>
        <w:rPr>
          <w:rFonts w:cstheme="minorHAnsi"/>
        </w:rPr>
      </w:pPr>
      <w:r>
        <w:rPr>
          <w:rFonts w:cstheme="minorHAnsi"/>
        </w:rPr>
        <w:t>4. Elaborar normas, orientações ou recomendações dando prioridade a:</w:t>
      </w:r>
    </w:p>
    <w:p w14:paraId="34E6A8FE" w14:textId="77777777" w:rsidR="00D3495C" w:rsidRDefault="00D3495C" w:rsidP="00D3495C">
      <w:pPr>
        <w:jc w:val="both"/>
        <w:rPr>
          <w:rFonts w:cstheme="minorHAnsi"/>
        </w:rPr>
      </w:pPr>
      <w:r>
        <w:rPr>
          <w:rFonts w:cstheme="minorHAnsi"/>
        </w:rPr>
        <w:t xml:space="preserve"> </w:t>
      </w:r>
      <w:r>
        <w:rPr>
          <w:rFonts w:cstheme="minorHAnsi"/>
        </w:rPr>
        <w:tab/>
        <w:t xml:space="preserve">indicações para realização de testes genéticos de </w:t>
      </w:r>
      <w:proofErr w:type="spellStart"/>
      <w:r>
        <w:rPr>
          <w:rFonts w:cstheme="minorHAnsi"/>
        </w:rPr>
        <w:t>heterozigotia</w:t>
      </w:r>
      <w:proofErr w:type="spellEnd"/>
      <w:r>
        <w:rPr>
          <w:rFonts w:cstheme="minorHAnsi"/>
        </w:rPr>
        <w:t xml:space="preserve"> para doenças recessivas;</w:t>
      </w:r>
    </w:p>
    <w:p w14:paraId="0FEDE4A1" w14:textId="77777777" w:rsidR="00D3495C" w:rsidRDefault="00D3495C" w:rsidP="00D3495C">
      <w:pPr>
        <w:pStyle w:val="PargrafodaLista"/>
        <w:jc w:val="both"/>
        <w:rPr>
          <w:rFonts w:asciiTheme="minorHAnsi" w:hAnsiTheme="minorHAnsi" w:cstheme="minorHAnsi"/>
        </w:rPr>
      </w:pPr>
      <w:r>
        <w:rPr>
          <w:rFonts w:asciiTheme="minorHAnsi" w:hAnsiTheme="minorHAnsi" w:cstheme="minorHAnsi"/>
        </w:rPr>
        <w:t>recomendações para critérios a cumprir para reporte de achados secundários e incidentais resultantes da análise de dados genómicos de larga escala (</w:t>
      </w:r>
      <w:proofErr w:type="spellStart"/>
      <w:r>
        <w:rPr>
          <w:rFonts w:asciiTheme="minorHAnsi" w:hAnsiTheme="minorHAnsi" w:cstheme="minorHAnsi"/>
        </w:rPr>
        <w:t>heterozigotia</w:t>
      </w:r>
      <w:proofErr w:type="spellEnd"/>
      <w:r>
        <w:rPr>
          <w:rFonts w:asciiTheme="minorHAnsi" w:hAnsiTheme="minorHAnsi" w:cstheme="minorHAnsi"/>
        </w:rPr>
        <w:t xml:space="preserve"> para doenças recessivas; diagnóstico preditivo de doenças de manifestação tardia e/ou risco acrescido de doença, clinicamente acionáveis, ou não);</w:t>
      </w:r>
    </w:p>
    <w:p w14:paraId="3468AB7D" w14:textId="77777777" w:rsidR="00D3495C" w:rsidRPr="00014C05" w:rsidRDefault="00D3495C" w:rsidP="00D3495C">
      <w:pPr>
        <w:pStyle w:val="PargrafodaLista"/>
        <w:jc w:val="both"/>
        <w:rPr>
          <w:rFonts w:asciiTheme="minorHAnsi" w:hAnsiTheme="minorHAnsi" w:cstheme="minorHAnsi"/>
        </w:rPr>
      </w:pPr>
      <w:r>
        <w:rPr>
          <w:rFonts w:asciiTheme="minorHAnsi" w:hAnsiTheme="minorHAnsi" w:cstheme="minorHAnsi"/>
        </w:rPr>
        <w:t>e recomendações</w:t>
      </w:r>
      <w:r w:rsidRPr="00014C05">
        <w:rPr>
          <w:rFonts w:asciiTheme="minorHAnsi" w:hAnsiTheme="minorHAnsi" w:cstheme="minorHAnsi"/>
        </w:rPr>
        <w:t xml:space="preserve"> para </w:t>
      </w:r>
      <w:r>
        <w:rPr>
          <w:rFonts w:asciiTheme="minorHAnsi" w:hAnsiTheme="minorHAnsi" w:cstheme="minorHAnsi"/>
        </w:rPr>
        <w:t xml:space="preserve">critérios a cumprir para realização de estudos de segregação </w:t>
      </w:r>
      <w:r w:rsidRPr="00014C05">
        <w:rPr>
          <w:rFonts w:asciiTheme="minorHAnsi" w:hAnsiTheme="minorHAnsi" w:cstheme="minorHAnsi"/>
        </w:rPr>
        <w:t>de variantes de significado clínico incerto em indivíduos saudáveis, para clarificação da sua patogenicidade, e integração em contexto hospitalar</w:t>
      </w:r>
      <w:r>
        <w:rPr>
          <w:rFonts w:asciiTheme="minorHAnsi" w:hAnsiTheme="minorHAnsi" w:cstheme="minorHAnsi"/>
        </w:rPr>
        <w:t>.</w:t>
      </w:r>
    </w:p>
    <w:p w14:paraId="7CBFC5DD" w14:textId="77777777" w:rsidR="00D3495C" w:rsidRDefault="00D3495C" w:rsidP="00D3495C">
      <w:pPr>
        <w:jc w:val="both"/>
        <w:rPr>
          <w:rFonts w:cstheme="minorHAnsi"/>
        </w:rPr>
      </w:pPr>
    </w:p>
    <w:p w14:paraId="233839AC" w14:textId="2E513735" w:rsidR="00D3495C" w:rsidRDefault="00D3495C" w:rsidP="00D3495C">
      <w:pPr>
        <w:jc w:val="both"/>
        <w:rPr>
          <w:rFonts w:cstheme="minorHAnsi"/>
        </w:rPr>
      </w:pPr>
      <w:r>
        <w:rPr>
          <w:rFonts w:cstheme="minorHAnsi"/>
        </w:rPr>
        <w:t>Anexo I</w:t>
      </w:r>
    </w:p>
    <w:p w14:paraId="3F0934F4" w14:textId="77777777" w:rsidR="00D3495C" w:rsidRDefault="00D3495C" w:rsidP="00D3495C">
      <w:pPr>
        <w:jc w:val="both"/>
      </w:pPr>
    </w:p>
    <w:p w14:paraId="5F415AB1" w14:textId="77777777" w:rsidR="00D3495C" w:rsidRPr="00493F70" w:rsidRDefault="00D3495C" w:rsidP="00D3495C">
      <w:pPr>
        <w:jc w:val="both"/>
        <w:rPr>
          <w:rFonts w:ascii="Times New Roman" w:hAnsi="Times New Roman"/>
        </w:rPr>
      </w:pPr>
      <w:r w:rsidRPr="00493F70">
        <w:rPr>
          <w:rFonts w:ascii="Times New Roman" w:hAnsi="Times New Roman"/>
        </w:rPr>
        <w:t xml:space="preserve">ANOTAÇÕES E COMENTÁRIOS GERAIS ÀS ALTERAÇÕES DO PROGRAMA DO INTERNATO DE FORMAÇÃO ESPECÍFICA EM GENÉTICA MÉDICA, PROPOSTAS </w:t>
      </w:r>
      <w:r>
        <w:rPr>
          <w:rFonts w:ascii="Times New Roman" w:hAnsi="Times New Roman"/>
        </w:rPr>
        <w:t>PELA LISTA CANDIDATA À DIREÇÃO DO</w:t>
      </w:r>
      <w:r w:rsidRPr="00493F70">
        <w:rPr>
          <w:rFonts w:ascii="Times New Roman" w:hAnsi="Times New Roman"/>
        </w:rPr>
        <w:t xml:space="preserve"> COLÉGIO DA ESPECIALIDADE </w:t>
      </w:r>
      <w:r>
        <w:rPr>
          <w:rFonts w:ascii="Times New Roman" w:hAnsi="Times New Roman"/>
        </w:rPr>
        <w:t xml:space="preserve">DE GENÉTICA MÉDICA </w:t>
      </w:r>
      <w:r w:rsidRPr="00493F70">
        <w:rPr>
          <w:rFonts w:ascii="Times New Roman" w:hAnsi="Times New Roman"/>
        </w:rPr>
        <w:t>DA ORDEM DOS MÉDICOS</w:t>
      </w:r>
    </w:p>
    <w:p w14:paraId="69412146" w14:textId="77777777" w:rsidR="00D3495C" w:rsidRPr="00493F70" w:rsidRDefault="00D3495C" w:rsidP="00D3495C">
      <w:pPr>
        <w:spacing w:after="100"/>
        <w:jc w:val="both"/>
        <w:rPr>
          <w:rFonts w:ascii="Times New Roman" w:hAnsi="Times New Roman"/>
        </w:rPr>
      </w:pPr>
    </w:p>
    <w:p w14:paraId="02A666A1" w14:textId="77777777" w:rsidR="00D3495C" w:rsidRPr="00493F70" w:rsidRDefault="00D3495C" w:rsidP="00D3495C">
      <w:pPr>
        <w:pStyle w:val="PargrafodaLista"/>
        <w:numPr>
          <w:ilvl w:val="0"/>
          <w:numId w:val="1"/>
        </w:numPr>
        <w:spacing w:after="100"/>
        <w:ind w:left="425" w:hanging="425"/>
        <w:contextualSpacing w:val="0"/>
        <w:jc w:val="both"/>
        <w:rPr>
          <w:rFonts w:ascii="Times New Roman" w:hAnsi="Times New Roman"/>
        </w:rPr>
      </w:pPr>
      <w:r w:rsidRPr="00493F70">
        <w:rPr>
          <w:rFonts w:ascii="Times New Roman" w:hAnsi="Times New Roman"/>
        </w:rPr>
        <w:t xml:space="preserve">O Programa do Internato de Formação Específica em Genética Médica (IFEGM) deve assentar numa visão estratégica </w:t>
      </w:r>
      <w:r>
        <w:rPr>
          <w:rFonts w:ascii="Times New Roman" w:hAnsi="Times New Roman"/>
        </w:rPr>
        <w:t>de médio- a longo-prazo para a e</w:t>
      </w:r>
      <w:r w:rsidRPr="00493F70">
        <w:rPr>
          <w:rFonts w:ascii="Times New Roman" w:hAnsi="Times New Roman"/>
        </w:rPr>
        <w:t>specialidade, c</w:t>
      </w:r>
      <w:r>
        <w:rPr>
          <w:rFonts w:ascii="Times New Roman" w:hAnsi="Times New Roman"/>
        </w:rPr>
        <w:t>om ideias claras sobre os respe</w:t>
      </w:r>
      <w:r w:rsidRPr="00493F70">
        <w:rPr>
          <w:rFonts w:ascii="Times New Roman" w:hAnsi="Times New Roman"/>
        </w:rPr>
        <w:t xml:space="preserve">tivos domínios conceituais e práxis, que lhe definam uma especificidade própria no contexto das outras especialidades da Medicina e um estatuto indispensável para a missão dos Serviços de Saúde. </w:t>
      </w:r>
    </w:p>
    <w:p w14:paraId="44BBED0E" w14:textId="77777777" w:rsidR="00D3495C" w:rsidRPr="00493F70" w:rsidRDefault="00D3495C" w:rsidP="00D3495C">
      <w:pPr>
        <w:pStyle w:val="PargrafodaLista"/>
        <w:numPr>
          <w:ilvl w:val="0"/>
          <w:numId w:val="1"/>
        </w:numPr>
        <w:spacing w:after="100"/>
        <w:ind w:left="425" w:hanging="425"/>
        <w:contextualSpacing w:val="0"/>
        <w:jc w:val="both"/>
        <w:rPr>
          <w:rFonts w:ascii="Times New Roman" w:hAnsi="Times New Roman"/>
        </w:rPr>
      </w:pPr>
      <w:r w:rsidRPr="00493F70">
        <w:rPr>
          <w:rFonts w:ascii="Times New Roman" w:hAnsi="Times New Roman"/>
        </w:rPr>
        <w:t xml:space="preserve">O termo «Genética Médica» (GM) refere-se, em sentido lato, às aplicações do conhecimento genético em Medicina — o que, embora as abranja, transcende as suas aplicações no exercício clínico. Sendo </w:t>
      </w:r>
      <w:r>
        <w:rPr>
          <w:rFonts w:ascii="Times New Roman" w:hAnsi="Times New Roman"/>
        </w:rPr>
        <w:t>que o obje</w:t>
      </w:r>
      <w:r w:rsidRPr="00493F70">
        <w:rPr>
          <w:rFonts w:ascii="Times New Roman" w:hAnsi="Times New Roman"/>
        </w:rPr>
        <w:t xml:space="preserve">tivo do IFEGM é a formação de médicos para o exercício clínico da GM, e que existem outras profissões da saúde cujos campos são do âmbito da GM, importa desambiguar o uso deste termo no contexto do programa do IFEGM. No presente documento, a especialidade médica reconhecida em Portugal será referida pelo termo «GM clínica (GM-C)». </w:t>
      </w:r>
    </w:p>
    <w:p w14:paraId="7881FF43" w14:textId="77777777" w:rsidR="00D3495C" w:rsidRPr="00493F70" w:rsidRDefault="00D3495C" w:rsidP="00D3495C">
      <w:pPr>
        <w:pStyle w:val="PargrafodaLista"/>
        <w:numPr>
          <w:ilvl w:val="0"/>
          <w:numId w:val="1"/>
        </w:numPr>
        <w:spacing w:after="100"/>
        <w:ind w:left="425" w:hanging="425"/>
        <w:contextualSpacing w:val="0"/>
        <w:jc w:val="both"/>
        <w:rPr>
          <w:rFonts w:ascii="Times New Roman" w:hAnsi="Times New Roman"/>
        </w:rPr>
      </w:pPr>
      <w:r w:rsidRPr="00493F70">
        <w:rPr>
          <w:rFonts w:ascii="Times New Roman" w:hAnsi="Times New Roman"/>
        </w:rPr>
        <w:t xml:space="preserve">A revisão do Programa do IFEGM </w:t>
      </w:r>
      <w:r>
        <w:rPr>
          <w:rFonts w:ascii="Times New Roman" w:hAnsi="Times New Roman"/>
        </w:rPr>
        <w:t>é uma t</w:t>
      </w:r>
      <w:r w:rsidRPr="00493F70">
        <w:rPr>
          <w:rFonts w:ascii="Times New Roman" w:hAnsi="Times New Roman"/>
        </w:rPr>
        <w:t xml:space="preserve">arefa primariamente </w:t>
      </w:r>
      <w:r>
        <w:rPr>
          <w:rFonts w:ascii="Times New Roman" w:hAnsi="Times New Roman"/>
        </w:rPr>
        <w:t xml:space="preserve">da </w:t>
      </w:r>
      <w:r w:rsidRPr="00493F70">
        <w:rPr>
          <w:rFonts w:ascii="Times New Roman" w:hAnsi="Times New Roman"/>
        </w:rPr>
        <w:t xml:space="preserve">responsabilidade do Colégio da Especialidade de GM </w:t>
      </w:r>
      <w:bookmarkStart w:id="0" w:name="_Hlk128909503"/>
      <w:r>
        <w:rPr>
          <w:rFonts w:ascii="Times New Roman" w:hAnsi="Times New Roman"/>
        </w:rPr>
        <w:t>da Ordem dos Médicos (CEGMOM) mas</w:t>
      </w:r>
      <w:r w:rsidRPr="00493F70">
        <w:rPr>
          <w:rFonts w:ascii="Times New Roman" w:hAnsi="Times New Roman"/>
        </w:rPr>
        <w:t xml:space="preserve"> a </w:t>
      </w:r>
      <w:bookmarkEnd w:id="0"/>
      <w:r w:rsidRPr="00493F70">
        <w:rPr>
          <w:rFonts w:ascii="Times New Roman" w:hAnsi="Times New Roman"/>
        </w:rPr>
        <w:t>importância do Programa do IFEGM para definição da próp</w:t>
      </w:r>
      <w:r>
        <w:rPr>
          <w:rFonts w:ascii="Times New Roman" w:hAnsi="Times New Roman"/>
        </w:rPr>
        <w:t>ria substância da especialidade</w:t>
      </w:r>
      <w:r w:rsidRPr="00493F70">
        <w:rPr>
          <w:rFonts w:ascii="Times New Roman" w:hAnsi="Times New Roman"/>
        </w:rPr>
        <w:t xml:space="preserve"> justifica uma contribuição dos médicos geneticistas portugueses o mais ampla possível. A discussão </w:t>
      </w:r>
      <w:r>
        <w:rPr>
          <w:rFonts w:ascii="Times New Roman" w:hAnsi="Times New Roman"/>
        </w:rPr>
        <w:t xml:space="preserve">do documento em </w:t>
      </w:r>
      <w:r w:rsidRPr="00493F70">
        <w:rPr>
          <w:rFonts w:ascii="Times New Roman" w:hAnsi="Times New Roman"/>
        </w:rPr>
        <w:t xml:space="preserve">assembleia do CEGMOM expressamente convocada para o efeito </w:t>
      </w:r>
      <w:r>
        <w:rPr>
          <w:rFonts w:ascii="Times New Roman" w:hAnsi="Times New Roman"/>
        </w:rPr>
        <w:t>poderá vir a conferir-lhe uma</w:t>
      </w:r>
      <w:r w:rsidRPr="00493F70">
        <w:rPr>
          <w:rFonts w:ascii="Times New Roman" w:hAnsi="Times New Roman"/>
        </w:rPr>
        <w:t xml:space="preserve"> maior representatividade e </w:t>
      </w:r>
      <w:r>
        <w:rPr>
          <w:rFonts w:ascii="Times New Roman" w:hAnsi="Times New Roman"/>
        </w:rPr>
        <w:t xml:space="preserve">uma </w:t>
      </w:r>
      <w:r w:rsidRPr="00493F70">
        <w:rPr>
          <w:rFonts w:ascii="Times New Roman" w:hAnsi="Times New Roman"/>
        </w:rPr>
        <w:t xml:space="preserve">validação formal mais robusta. </w:t>
      </w:r>
    </w:p>
    <w:p w14:paraId="2E2AA1A1" w14:textId="77777777" w:rsidR="00D3495C" w:rsidRPr="00493F70" w:rsidRDefault="00D3495C" w:rsidP="00D3495C">
      <w:pPr>
        <w:pStyle w:val="PargrafodaLista"/>
        <w:numPr>
          <w:ilvl w:val="0"/>
          <w:numId w:val="1"/>
        </w:numPr>
        <w:spacing w:after="100"/>
        <w:ind w:left="425" w:hanging="425"/>
        <w:contextualSpacing w:val="0"/>
        <w:jc w:val="both"/>
        <w:rPr>
          <w:rFonts w:ascii="Times New Roman" w:hAnsi="Times New Roman"/>
        </w:rPr>
      </w:pPr>
      <w:r w:rsidRPr="00493F70">
        <w:rPr>
          <w:rFonts w:ascii="Times New Roman" w:hAnsi="Times New Roman"/>
        </w:rPr>
        <w:t xml:space="preserve">Sem prejuízo do seu alinhamento com as pertinentes recomendações internacionais, a visão estratégica </w:t>
      </w:r>
      <w:bookmarkStart w:id="1" w:name="_Hlk139194871"/>
      <w:r>
        <w:rPr>
          <w:rFonts w:ascii="Times New Roman" w:hAnsi="Times New Roman"/>
        </w:rPr>
        <w:t>para a e</w:t>
      </w:r>
      <w:r w:rsidRPr="00493F70">
        <w:rPr>
          <w:rFonts w:ascii="Times New Roman" w:hAnsi="Times New Roman"/>
        </w:rPr>
        <w:t xml:space="preserve">specialidade </w:t>
      </w:r>
      <w:bookmarkEnd w:id="1"/>
      <w:r w:rsidRPr="00493F70">
        <w:rPr>
          <w:rFonts w:ascii="Times New Roman" w:hAnsi="Times New Roman"/>
        </w:rPr>
        <w:t xml:space="preserve">no nosso país deverá incorporar, como pilar fundamental, a caracterização da responsabilidade social da GM-C no âmbito do Serviço Nacional de Saúde (SNS), devendo dar resposta à seguinte pergunta: </w:t>
      </w:r>
      <w:r w:rsidRPr="00493F70">
        <w:rPr>
          <w:rFonts w:ascii="Times New Roman" w:hAnsi="Times New Roman"/>
          <w:i/>
          <w:iCs/>
        </w:rPr>
        <w:t xml:space="preserve">No </w:t>
      </w:r>
      <w:r w:rsidRPr="00493F70">
        <w:rPr>
          <w:rFonts w:ascii="Times New Roman" w:hAnsi="Times New Roman"/>
          <w:i/>
          <w:iCs/>
        </w:rPr>
        <w:lastRenderedPageBreak/>
        <w:t>nosso País, que papel específico têm ou terão os médicos geneticistas no âmbito da prestação de cuidados médicos às populações</w:t>
      </w:r>
      <w:r w:rsidRPr="00493F70">
        <w:rPr>
          <w:rFonts w:ascii="Times New Roman" w:hAnsi="Times New Roman"/>
        </w:rPr>
        <w:t xml:space="preserve">? </w:t>
      </w:r>
    </w:p>
    <w:p w14:paraId="348773BB" w14:textId="77777777" w:rsidR="00D3495C" w:rsidRPr="00493F70" w:rsidRDefault="00D3495C" w:rsidP="00D3495C">
      <w:pPr>
        <w:pStyle w:val="PargrafodaLista"/>
        <w:numPr>
          <w:ilvl w:val="0"/>
          <w:numId w:val="1"/>
        </w:numPr>
        <w:spacing w:after="100"/>
        <w:ind w:left="425" w:hanging="425"/>
        <w:contextualSpacing w:val="0"/>
        <w:jc w:val="both"/>
        <w:rPr>
          <w:rFonts w:ascii="Times New Roman" w:hAnsi="Times New Roman"/>
        </w:rPr>
      </w:pPr>
      <w:r w:rsidRPr="00493F70">
        <w:rPr>
          <w:rFonts w:ascii="Times New Roman" w:hAnsi="Times New Roman"/>
        </w:rPr>
        <w:t xml:space="preserve">Serão também componentes críticas na delineação da visão estratégica para a GM-C, as respostas às seguintes outras perguntas: </w:t>
      </w:r>
      <w:r w:rsidRPr="00493F70">
        <w:rPr>
          <w:rFonts w:ascii="Times New Roman" w:hAnsi="Times New Roman"/>
          <w:i/>
          <w:iCs/>
        </w:rPr>
        <w:t>Que esperam dos médicos geneticistas os médicos de outras especialidades</w:t>
      </w:r>
      <w:r w:rsidRPr="00493F70">
        <w:rPr>
          <w:rFonts w:ascii="Times New Roman" w:hAnsi="Times New Roman"/>
        </w:rPr>
        <w:t xml:space="preserve">? </w:t>
      </w:r>
      <w:r w:rsidRPr="00493F70">
        <w:rPr>
          <w:rFonts w:ascii="Times New Roman" w:hAnsi="Times New Roman"/>
          <w:i/>
          <w:iCs/>
        </w:rPr>
        <w:t>Que esperam dos médicos geneticistas os outros profissionais de saúde</w:t>
      </w:r>
      <w:r w:rsidRPr="00493F70">
        <w:rPr>
          <w:rFonts w:ascii="Times New Roman" w:hAnsi="Times New Roman"/>
        </w:rPr>
        <w:t xml:space="preserve">? </w:t>
      </w:r>
      <w:r w:rsidRPr="00493F70">
        <w:rPr>
          <w:rFonts w:ascii="Times New Roman" w:hAnsi="Times New Roman"/>
          <w:i/>
          <w:iCs/>
        </w:rPr>
        <w:t>Que serviços esperam as pessoas em geral dos médicos geneticistas</w:t>
      </w:r>
      <w:r w:rsidRPr="00493F70">
        <w:rPr>
          <w:rFonts w:ascii="Times New Roman" w:hAnsi="Times New Roman"/>
        </w:rPr>
        <w:t xml:space="preserve">? </w:t>
      </w:r>
    </w:p>
    <w:p w14:paraId="4B6FA965" w14:textId="77777777" w:rsidR="00D3495C" w:rsidRPr="00493F70" w:rsidRDefault="00D3495C" w:rsidP="00D3495C">
      <w:pPr>
        <w:pStyle w:val="PargrafodaLista"/>
        <w:numPr>
          <w:ilvl w:val="0"/>
          <w:numId w:val="1"/>
        </w:numPr>
        <w:spacing w:after="100"/>
        <w:ind w:left="425" w:hanging="425"/>
        <w:contextualSpacing w:val="0"/>
        <w:jc w:val="both"/>
        <w:rPr>
          <w:rFonts w:ascii="Times New Roman" w:hAnsi="Times New Roman"/>
        </w:rPr>
      </w:pPr>
      <w:r w:rsidRPr="00493F70">
        <w:rPr>
          <w:rFonts w:ascii="Times New Roman" w:hAnsi="Times New Roman"/>
        </w:rPr>
        <w:t xml:space="preserve">A GM-C é considerada uma especialidade vocacionada para os processos de diagnóstico e diagnóstico diferencial, com escassa capacitação terapêutica específica — nem mesmo para o tratamento das manifestações ou complicações das doenças hereditárias monogénicas, sejam as de expressão aguda ou de evolução crónica. Assim, o paradigma do </w:t>
      </w:r>
      <w:r>
        <w:rPr>
          <w:rFonts w:ascii="Times New Roman" w:hAnsi="Times New Roman"/>
        </w:rPr>
        <w:t>exercício clínico da e</w:t>
      </w:r>
      <w:r w:rsidRPr="00493F70">
        <w:rPr>
          <w:rFonts w:ascii="Times New Roman" w:hAnsi="Times New Roman"/>
        </w:rPr>
        <w:t>specialidade é o de atendimento programado em consulta externa ou em consultoria interna, não havendo necessidade de incorporação de médicos geneticistas em equipas de urgência hospitalar ou de atendimento permanente no âmbito dos cuidados de saúde primários (CSP). No contexto da organização e da</w:t>
      </w:r>
      <w:r>
        <w:rPr>
          <w:rFonts w:ascii="Times New Roman" w:hAnsi="Times New Roman"/>
        </w:rPr>
        <w:t>s a</w:t>
      </w:r>
      <w:r w:rsidRPr="00493F70">
        <w:rPr>
          <w:rFonts w:ascii="Times New Roman" w:hAnsi="Times New Roman"/>
        </w:rPr>
        <w:t xml:space="preserve">tuais prioridades estratégicas do SNS, estas circunstâncias poderão ser a razão de que </w:t>
      </w:r>
      <w:r>
        <w:rPr>
          <w:rFonts w:ascii="Times New Roman" w:hAnsi="Times New Roman"/>
        </w:rPr>
        <w:t>os a</w:t>
      </w:r>
      <w:r w:rsidRPr="00493F70">
        <w:rPr>
          <w:rFonts w:ascii="Times New Roman" w:hAnsi="Times New Roman"/>
        </w:rPr>
        <w:t xml:space="preserve">tos médicos de GM-C — apesar dos enormes encargos gerados pelos estudos de diagnóstico e diagnóstico diferencial que deles decorrem —, estejam relativamente desvalorizados em termos de financiamento hospitalar. </w:t>
      </w:r>
    </w:p>
    <w:p w14:paraId="15C26714" w14:textId="77777777" w:rsidR="00D3495C" w:rsidRPr="00493F70" w:rsidRDefault="00D3495C" w:rsidP="00D3495C">
      <w:pPr>
        <w:pStyle w:val="PargrafodaLista"/>
        <w:numPr>
          <w:ilvl w:val="0"/>
          <w:numId w:val="1"/>
        </w:numPr>
        <w:spacing w:after="100"/>
        <w:ind w:left="425" w:hanging="425"/>
        <w:contextualSpacing w:val="0"/>
        <w:jc w:val="both"/>
        <w:rPr>
          <w:rFonts w:ascii="Times New Roman" w:hAnsi="Times New Roman"/>
        </w:rPr>
      </w:pPr>
      <w:r w:rsidRPr="00493F70">
        <w:rPr>
          <w:rFonts w:ascii="Times New Roman" w:hAnsi="Times New Roman"/>
        </w:rPr>
        <w:t>Embora o crescimento progressivo das listas de espera por consultas d</w:t>
      </w:r>
      <w:r>
        <w:rPr>
          <w:rFonts w:ascii="Times New Roman" w:hAnsi="Times New Roman"/>
        </w:rPr>
        <w:t>a e</w:t>
      </w:r>
      <w:r w:rsidRPr="00493F70">
        <w:rPr>
          <w:rFonts w:ascii="Times New Roman" w:hAnsi="Times New Roman"/>
        </w:rPr>
        <w:t>specialidade, e dos tempos de espera por primeira consulta, em todos os SGM de hospitais públicos, sugiram que a GM-C é uma</w:t>
      </w:r>
      <w:r>
        <w:rPr>
          <w:rFonts w:ascii="Times New Roman" w:hAnsi="Times New Roman"/>
        </w:rPr>
        <w:t xml:space="preserve"> e</w:t>
      </w:r>
      <w:r w:rsidRPr="00493F70">
        <w:rPr>
          <w:rFonts w:ascii="Times New Roman" w:hAnsi="Times New Roman"/>
        </w:rPr>
        <w:t xml:space="preserve">specialidade carenciada no âmbito do SNS, </w:t>
      </w:r>
      <w:r>
        <w:rPr>
          <w:rFonts w:ascii="Times New Roman" w:hAnsi="Times New Roman"/>
        </w:rPr>
        <w:t>os dire</w:t>
      </w:r>
      <w:r w:rsidRPr="00493F70">
        <w:rPr>
          <w:rFonts w:ascii="Times New Roman" w:hAnsi="Times New Roman"/>
        </w:rPr>
        <w:t xml:space="preserve">tores daqueles </w:t>
      </w:r>
      <w:r>
        <w:rPr>
          <w:rFonts w:ascii="Times New Roman" w:hAnsi="Times New Roman"/>
        </w:rPr>
        <w:t>s</w:t>
      </w:r>
      <w:r w:rsidRPr="00493F70">
        <w:rPr>
          <w:rFonts w:ascii="Times New Roman" w:hAnsi="Times New Roman"/>
        </w:rPr>
        <w:t>erviços identificam a limitação</w:t>
      </w:r>
      <w:r>
        <w:rPr>
          <w:rFonts w:ascii="Times New Roman" w:hAnsi="Times New Roman"/>
        </w:rPr>
        <w:t xml:space="preserve"> dos respe</w:t>
      </w:r>
      <w:r w:rsidRPr="00493F70">
        <w:rPr>
          <w:rFonts w:ascii="Times New Roman" w:hAnsi="Times New Roman"/>
        </w:rPr>
        <w:t xml:space="preserve">tivos quadros médicos como um dos problemas que urge resolver prioritariamente e, na sua maioria, queixam-se da exiguidade das instalações dos </w:t>
      </w:r>
      <w:r>
        <w:rPr>
          <w:rFonts w:ascii="Times New Roman" w:hAnsi="Times New Roman"/>
        </w:rPr>
        <w:t>s</w:t>
      </w:r>
      <w:r w:rsidRPr="00493F70">
        <w:rPr>
          <w:rFonts w:ascii="Times New Roman" w:hAnsi="Times New Roman"/>
        </w:rPr>
        <w:t xml:space="preserve">erviços que dirigem e da incapacidade logística para integrarem mais profissionais — sejam </w:t>
      </w:r>
      <w:r>
        <w:rPr>
          <w:rFonts w:ascii="Times New Roman" w:hAnsi="Times New Roman"/>
        </w:rPr>
        <w:t>médicos e</w:t>
      </w:r>
      <w:r w:rsidRPr="00493F70">
        <w:rPr>
          <w:rFonts w:ascii="Times New Roman" w:hAnsi="Times New Roman"/>
        </w:rPr>
        <w:t xml:space="preserve">specialistas para o quadro, sejam </w:t>
      </w:r>
      <w:r>
        <w:rPr>
          <w:rFonts w:ascii="Times New Roman" w:hAnsi="Times New Roman"/>
        </w:rPr>
        <w:t>médicos i</w:t>
      </w:r>
      <w:r w:rsidRPr="00493F70">
        <w:rPr>
          <w:rFonts w:ascii="Times New Roman" w:hAnsi="Times New Roman"/>
        </w:rPr>
        <w:t>nternos, para formação pós-graduada —, apontando a falta de capacidade reivindicativa perante os Conse</w:t>
      </w:r>
      <w:r>
        <w:rPr>
          <w:rFonts w:ascii="Times New Roman" w:hAnsi="Times New Roman"/>
        </w:rPr>
        <w:t>lhos de Administração dos respetivos h</w:t>
      </w:r>
      <w:r w:rsidRPr="00493F70">
        <w:rPr>
          <w:rFonts w:ascii="Times New Roman" w:hAnsi="Times New Roman"/>
        </w:rPr>
        <w:t xml:space="preserve">ospitais </w:t>
      </w:r>
      <w:r>
        <w:rPr>
          <w:rFonts w:ascii="Times New Roman" w:hAnsi="Times New Roman"/>
        </w:rPr>
        <w:t>como um dos fa</w:t>
      </w:r>
      <w:r w:rsidRPr="00493F70">
        <w:rPr>
          <w:rFonts w:ascii="Times New Roman" w:hAnsi="Times New Roman"/>
        </w:rPr>
        <w:t xml:space="preserve">tores impeditivos da resolução deste problema. </w:t>
      </w:r>
    </w:p>
    <w:p w14:paraId="5DF92682" w14:textId="77777777" w:rsidR="00D3495C" w:rsidRPr="00493F70" w:rsidRDefault="00D3495C" w:rsidP="00D3495C">
      <w:pPr>
        <w:pStyle w:val="PargrafodaLista"/>
        <w:numPr>
          <w:ilvl w:val="0"/>
          <w:numId w:val="1"/>
        </w:numPr>
        <w:spacing w:after="100"/>
        <w:ind w:left="425" w:hanging="425"/>
        <w:contextualSpacing w:val="0"/>
        <w:jc w:val="both"/>
        <w:rPr>
          <w:rFonts w:ascii="Times New Roman" w:hAnsi="Times New Roman"/>
        </w:rPr>
      </w:pPr>
      <w:r>
        <w:rPr>
          <w:rFonts w:ascii="Times New Roman" w:hAnsi="Times New Roman"/>
        </w:rPr>
        <w:t xml:space="preserve">Na opinião dos </w:t>
      </w:r>
      <w:proofErr w:type="spellStart"/>
      <w:r>
        <w:rPr>
          <w:rFonts w:ascii="Times New Roman" w:hAnsi="Times New Roman"/>
        </w:rPr>
        <w:t>d</w:t>
      </w:r>
      <w:r w:rsidRPr="00493F70">
        <w:rPr>
          <w:rFonts w:ascii="Times New Roman" w:hAnsi="Times New Roman"/>
        </w:rPr>
        <w:t>irectores</w:t>
      </w:r>
      <w:proofErr w:type="spellEnd"/>
      <w:r w:rsidRPr="00493F70">
        <w:rPr>
          <w:rFonts w:ascii="Times New Roman" w:hAnsi="Times New Roman"/>
        </w:rPr>
        <w:t xml:space="preserve"> dos SGM hospitalares com idoneidade formativa para o IFEGM, a secundarização </w:t>
      </w:r>
      <w:r>
        <w:rPr>
          <w:rFonts w:ascii="Times New Roman" w:hAnsi="Times New Roman"/>
        </w:rPr>
        <w:t>obje</w:t>
      </w:r>
      <w:r w:rsidRPr="00493F70">
        <w:rPr>
          <w:rFonts w:ascii="Times New Roman" w:hAnsi="Times New Roman"/>
        </w:rPr>
        <w:t xml:space="preserve">tiva do papel destes Serviços públicos na planificação </w:t>
      </w:r>
      <w:r>
        <w:rPr>
          <w:rFonts w:ascii="Times New Roman" w:hAnsi="Times New Roman"/>
        </w:rPr>
        <w:t xml:space="preserve">e </w:t>
      </w:r>
      <w:r w:rsidRPr="00493F70">
        <w:rPr>
          <w:rFonts w:ascii="Times New Roman" w:hAnsi="Times New Roman"/>
        </w:rPr>
        <w:t xml:space="preserve">desenvolvimento do </w:t>
      </w:r>
      <w:r>
        <w:rPr>
          <w:rFonts w:ascii="Times New Roman" w:hAnsi="Times New Roman"/>
        </w:rPr>
        <w:t>proje</w:t>
      </w:r>
      <w:r w:rsidRPr="00493F70">
        <w:rPr>
          <w:rFonts w:ascii="Times New Roman" w:hAnsi="Times New Roman"/>
        </w:rPr>
        <w:t>to «</w:t>
      </w:r>
      <w:r w:rsidRPr="00493F70">
        <w:rPr>
          <w:rFonts w:ascii="Times New Roman" w:hAnsi="Times New Roman"/>
          <w:i/>
          <w:iCs/>
        </w:rPr>
        <w:t>Genoma de Portugal</w:t>
      </w:r>
      <w:r w:rsidRPr="00493F70">
        <w:rPr>
          <w:rFonts w:ascii="Times New Roman" w:hAnsi="Times New Roman"/>
        </w:rPr>
        <w:t xml:space="preserve">», </w:t>
      </w:r>
      <w:r>
        <w:rPr>
          <w:rFonts w:ascii="Times New Roman" w:hAnsi="Times New Roman"/>
        </w:rPr>
        <w:t>que visa caracterizar a arquite</w:t>
      </w:r>
      <w:r w:rsidRPr="00493F70">
        <w:rPr>
          <w:rFonts w:ascii="Times New Roman" w:hAnsi="Times New Roman"/>
        </w:rPr>
        <w:t>tura genómica da população portuguesa, no âmbito da «</w:t>
      </w:r>
      <w:r w:rsidRPr="00493F70">
        <w:rPr>
          <w:rFonts w:ascii="Times New Roman" w:hAnsi="Times New Roman"/>
          <w:i/>
          <w:iCs/>
        </w:rPr>
        <w:t>Estratégia Nacional para a Medicina Genómica</w:t>
      </w:r>
      <w:r w:rsidRPr="00493F70">
        <w:rPr>
          <w:rFonts w:ascii="Times New Roman" w:hAnsi="Times New Roman"/>
        </w:rPr>
        <w:t>», é uma evidência da (pouca) importância que é dada à GM</w:t>
      </w:r>
      <w:r w:rsidRPr="00493F70">
        <w:rPr>
          <w:rFonts w:ascii="Times New Roman" w:hAnsi="Times New Roman"/>
        </w:rPr>
        <w:noBreakHyphen/>
        <w:t xml:space="preserve">C por outras partes interessadas no desenvolvimento da GM (em sentido lato), no nosso País, incluindo por instituições do Ministério da Saúde, como Instituto Nacional de Saúde Dr. Ricardo Jorge (INSA). </w:t>
      </w:r>
    </w:p>
    <w:p w14:paraId="3A472491" w14:textId="77777777" w:rsidR="00D3495C" w:rsidRPr="00493F70" w:rsidRDefault="00D3495C" w:rsidP="00D3495C">
      <w:pPr>
        <w:pStyle w:val="PargrafodaLista"/>
        <w:numPr>
          <w:ilvl w:val="0"/>
          <w:numId w:val="1"/>
        </w:numPr>
        <w:spacing w:after="100"/>
        <w:ind w:left="425" w:hanging="425"/>
        <w:contextualSpacing w:val="0"/>
        <w:jc w:val="both"/>
        <w:rPr>
          <w:rFonts w:ascii="Times New Roman" w:hAnsi="Times New Roman"/>
        </w:rPr>
      </w:pPr>
      <w:r w:rsidRPr="00493F70">
        <w:rPr>
          <w:rFonts w:ascii="Times New Roman" w:hAnsi="Times New Roman"/>
        </w:rPr>
        <w:t>Está implícito na dimensão de responsabilidade social dos médicos especialistas, o dever de transmissão de conhecimentos e de experiência, garant</w:t>
      </w:r>
      <w:r>
        <w:rPr>
          <w:rFonts w:ascii="Times New Roman" w:hAnsi="Times New Roman"/>
        </w:rPr>
        <w:t>indo a renovação geracional da especialidade. A qualidade da orientação é</w:t>
      </w:r>
      <w:r w:rsidRPr="00493F70">
        <w:rPr>
          <w:rFonts w:ascii="Times New Roman" w:hAnsi="Times New Roman"/>
        </w:rPr>
        <w:t xml:space="preserve"> um elemento crítico para a qualidade de</w:t>
      </w:r>
      <w:r>
        <w:rPr>
          <w:rFonts w:ascii="Times New Roman" w:hAnsi="Times New Roman"/>
        </w:rPr>
        <w:t xml:space="preserve"> formação dos médicos do IFEGM pelo que </w:t>
      </w:r>
      <w:r w:rsidRPr="00493F70">
        <w:rPr>
          <w:rFonts w:ascii="Times New Roman" w:hAnsi="Times New Roman"/>
        </w:rPr>
        <w:t xml:space="preserve">a proposta de revisão do plano do IFEGM </w:t>
      </w:r>
      <w:r>
        <w:rPr>
          <w:rFonts w:ascii="Times New Roman" w:hAnsi="Times New Roman"/>
        </w:rPr>
        <w:t>deve fazer obrigatoriamente</w:t>
      </w:r>
      <w:r w:rsidRPr="00493F70">
        <w:rPr>
          <w:rFonts w:ascii="Times New Roman" w:hAnsi="Times New Roman"/>
        </w:rPr>
        <w:t xml:space="preserve"> referência ao pape</w:t>
      </w:r>
      <w:r>
        <w:rPr>
          <w:rFonts w:ascii="Times New Roman" w:hAnsi="Times New Roman"/>
        </w:rPr>
        <w:t xml:space="preserve">l dos orientadores de formação e incluir </w:t>
      </w:r>
      <w:r w:rsidRPr="00493F70">
        <w:rPr>
          <w:rFonts w:ascii="Times New Roman" w:hAnsi="Times New Roman"/>
        </w:rPr>
        <w:t xml:space="preserve">recomendações para o seu exercício. </w:t>
      </w:r>
    </w:p>
    <w:p w14:paraId="56529243" w14:textId="77777777" w:rsidR="00D3495C" w:rsidRPr="00493F70" w:rsidRDefault="00D3495C" w:rsidP="00D3495C">
      <w:pPr>
        <w:pStyle w:val="PargrafodaLista"/>
        <w:numPr>
          <w:ilvl w:val="0"/>
          <w:numId w:val="1"/>
        </w:numPr>
        <w:spacing w:after="100"/>
        <w:ind w:left="425" w:hanging="425"/>
        <w:contextualSpacing w:val="0"/>
        <w:jc w:val="both"/>
        <w:rPr>
          <w:rFonts w:ascii="Times New Roman" w:hAnsi="Times New Roman"/>
        </w:rPr>
      </w:pPr>
      <w:r w:rsidRPr="00493F70">
        <w:rPr>
          <w:rFonts w:ascii="Times New Roman" w:hAnsi="Times New Roman"/>
        </w:rPr>
        <w:lastRenderedPageBreak/>
        <w:t>C</w:t>
      </w:r>
      <w:r>
        <w:rPr>
          <w:rFonts w:ascii="Times New Roman" w:hAnsi="Times New Roman"/>
        </w:rPr>
        <w:t>om o obje</w:t>
      </w:r>
      <w:r w:rsidRPr="00493F70">
        <w:rPr>
          <w:rFonts w:ascii="Times New Roman" w:hAnsi="Times New Roman"/>
        </w:rPr>
        <w:t xml:space="preserve">tivo de identificar áreas críticas que permitissem fundamentar e contextualizar uma visão estratégica de médio-/longo-prazo para a GM-C no nosso País, seguiu-se, neste documento, uma metodologia de análise </w:t>
      </w:r>
      <w:r w:rsidRPr="00493F70">
        <w:rPr>
          <w:rFonts w:ascii="Times New Roman" w:hAnsi="Times New Roman"/>
          <w:i/>
          <w:iCs/>
        </w:rPr>
        <w:t>SWOT</w:t>
      </w:r>
      <w:r w:rsidRPr="00493F70">
        <w:rPr>
          <w:rFonts w:ascii="Times New Roman" w:hAnsi="Times New Roman"/>
        </w:rPr>
        <w:t xml:space="preserve"> </w:t>
      </w:r>
      <w:bookmarkStart w:id="2" w:name="_Hlk138940794"/>
      <w:r w:rsidRPr="00493F70">
        <w:rPr>
          <w:rFonts w:ascii="Times New Roman" w:hAnsi="Times New Roman"/>
        </w:rPr>
        <w:t>—</w:t>
      </w:r>
      <w:bookmarkEnd w:id="2"/>
      <w:r w:rsidRPr="00493F70">
        <w:rPr>
          <w:rFonts w:ascii="Times New Roman" w:hAnsi="Times New Roman"/>
        </w:rPr>
        <w:t xml:space="preserve"> para identificação de </w:t>
      </w:r>
      <w:r w:rsidRPr="00493F70">
        <w:rPr>
          <w:rFonts w:ascii="Times New Roman" w:hAnsi="Times New Roman"/>
          <w:i/>
          <w:iCs/>
        </w:rPr>
        <w:t>forças</w:t>
      </w:r>
      <w:r w:rsidRPr="00493F70">
        <w:rPr>
          <w:rFonts w:ascii="Times New Roman" w:hAnsi="Times New Roman"/>
        </w:rPr>
        <w:t xml:space="preserve"> (</w:t>
      </w:r>
      <w:proofErr w:type="spellStart"/>
      <w:r w:rsidRPr="00493F70">
        <w:rPr>
          <w:rFonts w:ascii="Times New Roman" w:hAnsi="Times New Roman"/>
          <w:i/>
          <w:iCs/>
          <w:u w:val="single"/>
        </w:rPr>
        <w:t>S</w:t>
      </w:r>
      <w:r w:rsidRPr="00493F70">
        <w:rPr>
          <w:rFonts w:ascii="Times New Roman" w:hAnsi="Times New Roman"/>
          <w:i/>
          <w:iCs/>
        </w:rPr>
        <w:t>trengths</w:t>
      </w:r>
      <w:proofErr w:type="spellEnd"/>
      <w:r w:rsidRPr="00493F70">
        <w:rPr>
          <w:rFonts w:ascii="Times New Roman" w:hAnsi="Times New Roman"/>
        </w:rPr>
        <w:t xml:space="preserve">), </w:t>
      </w:r>
      <w:r w:rsidRPr="00493F70">
        <w:rPr>
          <w:rFonts w:ascii="Times New Roman" w:hAnsi="Times New Roman"/>
          <w:i/>
          <w:iCs/>
        </w:rPr>
        <w:t>fragilidades</w:t>
      </w:r>
      <w:r w:rsidRPr="00493F70">
        <w:rPr>
          <w:rFonts w:ascii="Times New Roman" w:hAnsi="Times New Roman"/>
        </w:rPr>
        <w:t xml:space="preserve"> (</w:t>
      </w:r>
      <w:proofErr w:type="spellStart"/>
      <w:r w:rsidRPr="00493F70">
        <w:rPr>
          <w:rFonts w:ascii="Times New Roman" w:hAnsi="Times New Roman"/>
          <w:i/>
          <w:iCs/>
          <w:u w:val="single"/>
        </w:rPr>
        <w:t>W</w:t>
      </w:r>
      <w:r w:rsidRPr="00493F70">
        <w:rPr>
          <w:rFonts w:ascii="Times New Roman" w:hAnsi="Times New Roman"/>
          <w:i/>
          <w:iCs/>
        </w:rPr>
        <w:t>eaknesses</w:t>
      </w:r>
      <w:proofErr w:type="spellEnd"/>
      <w:r w:rsidRPr="00493F70">
        <w:rPr>
          <w:rFonts w:ascii="Times New Roman" w:hAnsi="Times New Roman"/>
        </w:rPr>
        <w:t xml:space="preserve">), </w:t>
      </w:r>
      <w:r w:rsidRPr="00493F70">
        <w:rPr>
          <w:rFonts w:ascii="Times New Roman" w:hAnsi="Times New Roman"/>
          <w:i/>
          <w:iCs/>
        </w:rPr>
        <w:t>oportunidades</w:t>
      </w:r>
      <w:r w:rsidRPr="00493F70">
        <w:rPr>
          <w:rFonts w:ascii="Times New Roman" w:hAnsi="Times New Roman"/>
        </w:rPr>
        <w:t xml:space="preserve"> (</w:t>
      </w:r>
      <w:proofErr w:type="spellStart"/>
      <w:r w:rsidRPr="00493F70">
        <w:rPr>
          <w:rFonts w:ascii="Times New Roman" w:hAnsi="Times New Roman"/>
          <w:i/>
          <w:iCs/>
          <w:u w:val="single"/>
        </w:rPr>
        <w:t>O</w:t>
      </w:r>
      <w:r w:rsidRPr="00493F70">
        <w:rPr>
          <w:rFonts w:ascii="Times New Roman" w:hAnsi="Times New Roman"/>
          <w:i/>
          <w:iCs/>
        </w:rPr>
        <w:t>pportunities</w:t>
      </w:r>
      <w:proofErr w:type="spellEnd"/>
      <w:r w:rsidRPr="00493F70">
        <w:rPr>
          <w:rFonts w:ascii="Times New Roman" w:hAnsi="Times New Roman"/>
        </w:rPr>
        <w:t xml:space="preserve">) e </w:t>
      </w:r>
      <w:r w:rsidRPr="00493F70">
        <w:rPr>
          <w:rFonts w:ascii="Times New Roman" w:hAnsi="Times New Roman"/>
          <w:i/>
          <w:iCs/>
        </w:rPr>
        <w:t>ameaças</w:t>
      </w:r>
      <w:r w:rsidRPr="00493F70">
        <w:rPr>
          <w:rFonts w:ascii="Times New Roman" w:hAnsi="Times New Roman"/>
        </w:rPr>
        <w:t xml:space="preserve"> (</w:t>
      </w:r>
      <w:proofErr w:type="spellStart"/>
      <w:r w:rsidRPr="00493F70">
        <w:rPr>
          <w:rFonts w:ascii="Times New Roman" w:hAnsi="Times New Roman"/>
          <w:i/>
          <w:iCs/>
          <w:u w:val="single"/>
        </w:rPr>
        <w:t>T</w:t>
      </w:r>
      <w:r w:rsidRPr="00493F70">
        <w:rPr>
          <w:rFonts w:ascii="Times New Roman" w:hAnsi="Times New Roman"/>
          <w:i/>
          <w:iCs/>
        </w:rPr>
        <w:t>hreats</w:t>
      </w:r>
      <w:proofErr w:type="spellEnd"/>
      <w:r>
        <w:rPr>
          <w:rFonts w:ascii="Times New Roman" w:hAnsi="Times New Roman"/>
        </w:rPr>
        <w:t>), intrínsecas e extrínsecas à e</w:t>
      </w:r>
      <w:r w:rsidRPr="00493F70">
        <w:rPr>
          <w:rFonts w:ascii="Times New Roman" w:hAnsi="Times New Roman"/>
        </w:rPr>
        <w:t>specialidade, sem a pretensão de ser exaustiva ou representat</w:t>
      </w:r>
      <w:r>
        <w:rPr>
          <w:rFonts w:ascii="Times New Roman" w:hAnsi="Times New Roman"/>
        </w:rPr>
        <w:t>iva de todas as visões sobre a e</w:t>
      </w:r>
      <w:r w:rsidRPr="00493F70">
        <w:rPr>
          <w:rFonts w:ascii="Times New Roman" w:hAnsi="Times New Roman"/>
        </w:rPr>
        <w:t xml:space="preserve">specialidade. Entende-se, porém, que seria oportuno (e urgente!) que os médicos geneticistas portugueses fizessem este exercício de pensamento, de modo mais sistematizado e institucional — por inerência de missão, competiria ao CEGMOM promover e dinamizar tal iniciativa. </w:t>
      </w:r>
    </w:p>
    <w:p w14:paraId="38C1E809" w14:textId="77777777" w:rsidR="00D3495C" w:rsidRPr="00493F70" w:rsidRDefault="00D3495C" w:rsidP="00D3495C">
      <w:pPr>
        <w:pStyle w:val="PargrafodaLista"/>
        <w:numPr>
          <w:ilvl w:val="1"/>
          <w:numId w:val="1"/>
        </w:numPr>
        <w:spacing w:after="100"/>
        <w:ind w:left="992" w:hanging="425"/>
        <w:contextualSpacing w:val="0"/>
        <w:jc w:val="both"/>
        <w:rPr>
          <w:rFonts w:ascii="Times New Roman" w:hAnsi="Times New Roman"/>
        </w:rPr>
      </w:pPr>
      <w:r w:rsidRPr="00493F70">
        <w:rPr>
          <w:rFonts w:ascii="Times New Roman" w:hAnsi="Times New Roman"/>
        </w:rPr>
        <w:t xml:space="preserve">Em contraponto com as especialidades médicas de patologia de órgão, de aparelho ou de sistema, a natureza da GM-C radica no mecanismo de doença, o que a diferencia como uma especialidade transversal a todos os escalões etários e campos de patologia — paradoxalmente, decorrem da sua natureza mecanística tanto </w:t>
      </w:r>
      <w:r w:rsidRPr="00493F70">
        <w:rPr>
          <w:rFonts w:ascii="Times New Roman" w:hAnsi="Times New Roman"/>
          <w:i/>
          <w:iCs/>
        </w:rPr>
        <w:t>forças</w:t>
      </w:r>
      <w:r w:rsidRPr="00493F70">
        <w:rPr>
          <w:rFonts w:ascii="Times New Roman" w:hAnsi="Times New Roman"/>
        </w:rPr>
        <w:t xml:space="preserve"> como </w:t>
      </w:r>
      <w:r w:rsidRPr="00493F70">
        <w:rPr>
          <w:rFonts w:ascii="Times New Roman" w:hAnsi="Times New Roman"/>
          <w:i/>
          <w:iCs/>
        </w:rPr>
        <w:t>fraquezas</w:t>
      </w:r>
      <w:r w:rsidRPr="00493F70">
        <w:rPr>
          <w:rFonts w:ascii="Times New Roman" w:hAnsi="Times New Roman"/>
        </w:rPr>
        <w:t xml:space="preserve">, que se abordam em mais detalhe ao longo das alíneas subsequentes. </w:t>
      </w:r>
    </w:p>
    <w:p w14:paraId="01EF76FE" w14:textId="77777777" w:rsidR="00D3495C" w:rsidRPr="00493F70" w:rsidRDefault="00D3495C" w:rsidP="00D3495C">
      <w:pPr>
        <w:pStyle w:val="PargrafodaLista"/>
        <w:numPr>
          <w:ilvl w:val="1"/>
          <w:numId w:val="1"/>
        </w:numPr>
        <w:spacing w:after="100"/>
        <w:ind w:left="992" w:hanging="425"/>
        <w:contextualSpacing w:val="0"/>
        <w:jc w:val="both"/>
        <w:rPr>
          <w:rFonts w:ascii="Times New Roman" w:hAnsi="Times New Roman"/>
        </w:rPr>
      </w:pPr>
      <w:r w:rsidRPr="00493F70">
        <w:rPr>
          <w:rFonts w:ascii="Times New Roman" w:hAnsi="Times New Roman"/>
        </w:rPr>
        <w:t xml:space="preserve">A GM-C é uma especialidade de história recente, ainda à procura dos seus domínios conceituais e da sua práxis, sendo que esta é uma das suas </w:t>
      </w:r>
      <w:bookmarkStart w:id="3" w:name="_Hlk128926766"/>
      <w:r w:rsidRPr="00493F70">
        <w:rPr>
          <w:rFonts w:ascii="Times New Roman" w:hAnsi="Times New Roman"/>
          <w:i/>
          <w:iCs/>
        </w:rPr>
        <w:t>fragilidades</w:t>
      </w:r>
      <w:bookmarkEnd w:id="3"/>
      <w:r w:rsidRPr="00493F70">
        <w:rPr>
          <w:rFonts w:ascii="Times New Roman" w:hAnsi="Times New Roman"/>
        </w:rPr>
        <w:t>. A definição de interfaces com os domínios das outras especialidades, já bem consolidados por histórias mais antigas, é um processo s</w:t>
      </w:r>
      <w:r>
        <w:rPr>
          <w:rFonts w:ascii="Times New Roman" w:hAnsi="Times New Roman"/>
        </w:rPr>
        <w:t>ociologicamente complexo, suscetível a confrontos de perspe</w:t>
      </w:r>
      <w:r w:rsidRPr="00493F70">
        <w:rPr>
          <w:rFonts w:ascii="Times New Roman" w:hAnsi="Times New Roman"/>
        </w:rPr>
        <w:t>tivas an</w:t>
      </w:r>
      <w:r>
        <w:rPr>
          <w:rFonts w:ascii="Times New Roman" w:hAnsi="Times New Roman"/>
        </w:rPr>
        <w:t>tagónicas. As diferentes perspe</w:t>
      </w:r>
      <w:r w:rsidRPr="00493F70">
        <w:rPr>
          <w:rFonts w:ascii="Times New Roman" w:hAnsi="Times New Roman"/>
        </w:rPr>
        <w:t xml:space="preserve">tivas interpares sobre o campo da GM-C devem ser devidamente ponderadas e encaradas como uma potencial </w:t>
      </w:r>
      <w:r w:rsidRPr="00493F70">
        <w:rPr>
          <w:rFonts w:ascii="Times New Roman" w:hAnsi="Times New Roman"/>
          <w:i/>
          <w:iCs/>
        </w:rPr>
        <w:t>ameaça</w:t>
      </w:r>
      <w:r w:rsidRPr="00493F70">
        <w:rPr>
          <w:rFonts w:ascii="Times New Roman" w:hAnsi="Times New Roman"/>
        </w:rPr>
        <w:t xml:space="preserve">. </w:t>
      </w:r>
    </w:p>
    <w:p w14:paraId="5AB499F5" w14:textId="77777777" w:rsidR="00D3495C" w:rsidRPr="00493F70" w:rsidRDefault="00D3495C" w:rsidP="00D3495C">
      <w:pPr>
        <w:pStyle w:val="PargrafodaLista"/>
        <w:numPr>
          <w:ilvl w:val="1"/>
          <w:numId w:val="1"/>
        </w:numPr>
        <w:spacing w:after="100"/>
        <w:ind w:left="992" w:hanging="425"/>
        <w:contextualSpacing w:val="0"/>
        <w:jc w:val="both"/>
        <w:rPr>
          <w:rFonts w:ascii="Times New Roman" w:hAnsi="Times New Roman"/>
        </w:rPr>
      </w:pPr>
      <w:r w:rsidRPr="00493F70">
        <w:rPr>
          <w:rFonts w:ascii="Times New Roman" w:hAnsi="Times New Roman"/>
        </w:rPr>
        <w:t xml:space="preserve">No contexto das </w:t>
      </w:r>
      <w:r>
        <w:rPr>
          <w:rFonts w:ascii="Times New Roman" w:hAnsi="Times New Roman"/>
        </w:rPr>
        <w:t>a</w:t>
      </w:r>
      <w:r w:rsidRPr="00493F70">
        <w:rPr>
          <w:rFonts w:ascii="Times New Roman" w:hAnsi="Times New Roman"/>
        </w:rPr>
        <w:t xml:space="preserve">tuais prioridades estratégicas do SNS, identificam-se como </w:t>
      </w:r>
      <w:r w:rsidRPr="00493F70">
        <w:rPr>
          <w:rFonts w:ascii="Times New Roman" w:hAnsi="Times New Roman"/>
          <w:i/>
          <w:iCs/>
        </w:rPr>
        <w:t>fragilidades</w:t>
      </w:r>
      <w:r w:rsidRPr="00493F70">
        <w:rPr>
          <w:rFonts w:ascii="Times New Roman" w:hAnsi="Times New Roman"/>
        </w:rPr>
        <w:t xml:space="preserve"> da Especialidade de GM-C não ter capacitação terapêutica específica, nem um papel assistencial nos cuidados de saúde de urgência. </w:t>
      </w:r>
    </w:p>
    <w:p w14:paraId="5D8321DF" w14:textId="77777777" w:rsidR="00D3495C" w:rsidRPr="00493F70" w:rsidRDefault="00D3495C" w:rsidP="00D3495C">
      <w:pPr>
        <w:pStyle w:val="PargrafodaLista"/>
        <w:numPr>
          <w:ilvl w:val="1"/>
          <w:numId w:val="1"/>
        </w:numPr>
        <w:spacing w:after="100"/>
        <w:ind w:left="992" w:hanging="425"/>
        <w:contextualSpacing w:val="0"/>
        <w:jc w:val="both"/>
        <w:rPr>
          <w:rFonts w:ascii="Times New Roman" w:hAnsi="Times New Roman"/>
        </w:rPr>
      </w:pPr>
      <w:bookmarkStart w:id="4" w:name="_Hlk128912768"/>
      <w:r w:rsidRPr="00493F70">
        <w:rPr>
          <w:rFonts w:ascii="Times New Roman" w:hAnsi="Times New Roman"/>
        </w:rPr>
        <w:t xml:space="preserve">Sendo as disposições legais e </w:t>
      </w:r>
      <w:r w:rsidRPr="00493F70">
        <w:rPr>
          <w:rStyle w:val="nfase"/>
          <w:rFonts w:ascii="Times New Roman" w:hAnsi="Times New Roman"/>
        </w:rPr>
        <w:t>regulamentares de natureza efémera, a</w:t>
      </w:r>
      <w:r w:rsidRPr="00493F70">
        <w:rPr>
          <w:rFonts w:ascii="Times New Roman" w:hAnsi="Times New Roman"/>
          <w:i/>
          <w:iCs/>
        </w:rPr>
        <w:t xml:space="preserve"> </w:t>
      </w:r>
      <w:r w:rsidRPr="00493F70">
        <w:rPr>
          <w:rFonts w:ascii="Times New Roman" w:hAnsi="Times New Roman"/>
        </w:rPr>
        <w:t xml:space="preserve">salvaguarda do estatuto dos médicos geneticistas por legislação — como decorre das restrições introduzidas pela Lei n.º 12/2005, de 26 de janeiro — deve ser encarada como uma potencial </w:t>
      </w:r>
      <w:r w:rsidRPr="00493F70">
        <w:rPr>
          <w:rFonts w:ascii="Times New Roman" w:hAnsi="Times New Roman"/>
          <w:i/>
          <w:iCs/>
        </w:rPr>
        <w:t>fragilidade</w:t>
      </w:r>
      <w:r w:rsidRPr="00493F70">
        <w:rPr>
          <w:rFonts w:ascii="Times New Roman" w:hAnsi="Times New Roman"/>
        </w:rPr>
        <w:t xml:space="preserve">. </w:t>
      </w:r>
      <w:bookmarkEnd w:id="4"/>
    </w:p>
    <w:p w14:paraId="0AB75F00" w14:textId="77777777" w:rsidR="00D3495C" w:rsidRPr="00493F70" w:rsidRDefault="00D3495C" w:rsidP="00D3495C">
      <w:pPr>
        <w:pStyle w:val="PargrafodaLista"/>
        <w:numPr>
          <w:ilvl w:val="1"/>
          <w:numId w:val="1"/>
        </w:numPr>
        <w:spacing w:after="100"/>
        <w:ind w:left="992" w:hanging="425"/>
        <w:contextualSpacing w:val="0"/>
        <w:jc w:val="both"/>
        <w:rPr>
          <w:rFonts w:ascii="Times New Roman" w:hAnsi="Times New Roman"/>
        </w:rPr>
      </w:pPr>
      <w:r w:rsidRPr="00493F70">
        <w:rPr>
          <w:rFonts w:ascii="Times New Roman" w:hAnsi="Times New Roman"/>
        </w:rPr>
        <w:t xml:space="preserve">A abrangência do campo clínico da GM exige uma formação semiológica sólida e eclética, incluindo de proficiência no exame físico </w:t>
      </w:r>
      <w:proofErr w:type="spellStart"/>
      <w:r w:rsidRPr="00493F70">
        <w:rPr>
          <w:rFonts w:ascii="Times New Roman" w:hAnsi="Times New Roman"/>
        </w:rPr>
        <w:t>dismorfológico</w:t>
      </w:r>
      <w:proofErr w:type="spellEnd"/>
      <w:r w:rsidRPr="00493F70">
        <w:rPr>
          <w:rFonts w:ascii="Times New Roman" w:hAnsi="Times New Roman"/>
        </w:rPr>
        <w:t xml:space="preserve">, que habilite os médicos geneticistas a serem interlocutores idóneos de todas as outras especialidades, médicas ou cirúrgicas. A necessidade de aquisição de aptidões clínicas multidisciplinares deve ser encarada como uma das </w:t>
      </w:r>
      <w:r w:rsidRPr="00493F70">
        <w:rPr>
          <w:rFonts w:ascii="Times New Roman" w:hAnsi="Times New Roman"/>
          <w:i/>
          <w:iCs/>
        </w:rPr>
        <w:t>forças</w:t>
      </w:r>
      <w:r>
        <w:rPr>
          <w:rFonts w:ascii="Times New Roman" w:hAnsi="Times New Roman"/>
        </w:rPr>
        <w:t xml:space="preserve"> da especialidade, devendo refle</w:t>
      </w:r>
      <w:r w:rsidRPr="00493F70">
        <w:rPr>
          <w:rFonts w:ascii="Times New Roman" w:hAnsi="Times New Roman"/>
        </w:rPr>
        <w:t xml:space="preserve">tir-se no planeamento e conteúdos do </w:t>
      </w:r>
      <w:r>
        <w:rPr>
          <w:rFonts w:ascii="Times New Roman" w:hAnsi="Times New Roman"/>
        </w:rPr>
        <w:t>respe</w:t>
      </w:r>
      <w:r w:rsidRPr="00493F70">
        <w:rPr>
          <w:rFonts w:ascii="Times New Roman" w:hAnsi="Times New Roman"/>
        </w:rPr>
        <w:t xml:space="preserve">tivo programa de formação — por exemplo, considerando o reforço do tempo total de treino clínico. </w:t>
      </w:r>
    </w:p>
    <w:p w14:paraId="37C4478F" w14:textId="77777777" w:rsidR="00D3495C" w:rsidRPr="00493F70" w:rsidRDefault="00D3495C" w:rsidP="00D3495C">
      <w:pPr>
        <w:pStyle w:val="PargrafodaLista"/>
        <w:numPr>
          <w:ilvl w:val="1"/>
          <w:numId w:val="1"/>
        </w:numPr>
        <w:spacing w:after="100"/>
        <w:ind w:left="992" w:hanging="425"/>
        <w:contextualSpacing w:val="0"/>
        <w:jc w:val="both"/>
        <w:rPr>
          <w:rFonts w:ascii="Times New Roman" w:hAnsi="Times New Roman"/>
        </w:rPr>
      </w:pPr>
      <w:r w:rsidRPr="00493F70">
        <w:rPr>
          <w:rFonts w:ascii="Times New Roman" w:hAnsi="Times New Roman"/>
        </w:rPr>
        <w:t xml:space="preserve">Decorre também da natureza da GM-C que os médicos geneticistas devam ter um conhecimento sólido dos conceitos e dos mecanismos genéticos de doença, e a preparação teórica formal necessária para se ajustarem à rápida evolução do conhecimento científico neste campo. A inexistência de um programa que assegure essa capacitação constitui uma </w:t>
      </w:r>
      <w:r w:rsidRPr="00493F70">
        <w:rPr>
          <w:rFonts w:ascii="Times New Roman" w:hAnsi="Times New Roman"/>
          <w:i/>
          <w:iCs/>
        </w:rPr>
        <w:t>fragilidade</w:t>
      </w:r>
      <w:r w:rsidRPr="00493F70">
        <w:rPr>
          <w:rFonts w:ascii="Times New Roman" w:hAnsi="Times New Roman"/>
        </w:rPr>
        <w:t xml:space="preserve"> identificável no plano de formação do IFEGM. </w:t>
      </w:r>
    </w:p>
    <w:p w14:paraId="7FFA1A81" w14:textId="77777777" w:rsidR="00D3495C" w:rsidRPr="00493F70" w:rsidRDefault="00D3495C" w:rsidP="00D3495C">
      <w:pPr>
        <w:pStyle w:val="PargrafodaLista"/>
        <w:numPr>
          <w:ilvl w:val="1"/>
          <w:numId w:val="1"/>
        </w:numPr>
        <w:spacing w:after="100"/>
        <w:ind w:left="992" w:hanging="425"/>
        <w:contextualSpacing w:val="0"/>
        <w:jc w:val="both"/>
        <w:rPr>
          <w:rFonts w:ascii="Times New Roman" w:hAnsi="Times New Roman"/>
        </w:rPr>
      </w:pPr>
      <w:r w:rsidRPr="00493F70">
        <w:rPr>
          <w:rFonts w:ascii="Times New Roman" w:hAnsi="Times New Roman"/>
        </w:rPr>
        <w:lastRenderedPageBreak/>
        <w:t>Sendo que a par</w:t>
      </w:r>
      <w:r>
        <w:rPr>
          <w:rFonts w:ascii="Times New Roman" w:hAnsi="Times New Roman"/>
        </w:rPr>
        <w:t>ticipação em programas ou proje</w:t>
      </w:r>
      <w:r w:rsidRPr="00493F70">
        <w:rPr>
          <w:rFonts w:ascii="Times New Roman" w:hAnsi="Times New Roman"/>
        </w:rPr>
        <w:t xml:space="preserve">tos de investigação científica faz parte do conteúdo funcional da carreira médica, deverá o programa do IFEGM prever tempos de horário </w:t>
      </w:r>
      <w:r>
        <w:rPr>
          <w:rFonts w:ascii="Times New Roman" w:hAnsi="Times New Roman"/>
        </w:rPr>
        <w:t>de trabalho dedicados aquelas a</w:t>
      </w:r>
      <w:r w:rsidRPr="00493F70">
        <w:rPr>
          <w:rFonts w:ascii="Times New Roman" w:hAnsi="Times New Roman"/>
        </w:rPr>
        <w:t>tividades; assegurar a habilitação formal dos Médicos Internos em metodologias de investigação médica, básica e clínica, relevantes em GM; assim como providenciar oportunidades</w:t>
      </w:r>
      <w:r>
        <w:rPr>
          <w:rFonts w:ascii="Times New Roman" w:hAnsi="Times New Roman"/>
        </w:rPr>
        <w:t xml:space="preserve"> de participação ativa em proje</w:t>
      </w:r>
      <w:r w:rsidRPr="00493F70">
        <w:rPr>
          <w:rFonts w:ascii="Times New Roman" w:hAnsi="Times New Roman"/>
        </w:rPr>
        <w:t xml:space="preserve">tos concretos de investigação. A inexistência de um programa que assegure essa capacitação metodológica, constitui uma </w:t>
      </w:r>
      <w:r w:rsidRPr="00493F70">
        <w:rPr>
          <w:rFonts w:ascii="Times New Roman" w:hAnsi="Times New Roman"/>
          <w:i/>
          <w:iCs/>
        </w:rPr>
        <w:t>fragilidade</w:t>
      </w:r>
      <w:r w:rsidRPr="00493F70">
        <w:rPr>
          <w:rFonts w:ascii="Times New Roman" w:hAnsi="Times New Roman"/>
        </w:rPr>
        <w:t xml:space="preserve"> identificável no plano de formação do IFEGM. </w:t>
      </w:r>
    </w:p>
    <w:p w14:paraId="38D7B3BC" w14:textId="77777777" w:rsidR="00D3495C" w:rsidRPr="00493F70" w:rsidRDefault="00D3495C" w:rsidP="00D3495C">
      <w:pPr>
        <w:pStyle w:val="PargrafodaLista"/>
        <w:numPr>
          <w:ilvl w:val="1"/>
          <w:numId w:val="1"/>
        </w:numPr>
        <w:spacing w:after="100"/>
        <w:ind w:left="992" w:hanging="425"/>
        <w:contextualSpacing w:val="0"/>
        <w:jc w:val="both"/>
        <w:rPr>
          <w:rFonts w:ascii="Times New Roman" w:hAnsi="Times New Roman"/>
        </w:rPr>
      </w:pPr>
      <w:r w:rsidRPr="00493F70">
        <w:rPr>
          <w:rFonts w:ascii="Times New Roman" w:hAnsi="Times New Roman"/>
        </w:rPr>
        <w:t>A criação de um programa académico para capacita</w:t>
      </w:r>
      <w:r>
        <w:rPr>
          <w:rFonts w:ascii="Times New Roman" w:hAnsi="Times New Roman"/>
        </w:rPr>
        <w:t>ção técnica e metodológica dos médicos i</w:t>
      </w:r>
      <w:r w:rsidRPr="00493F70">
        <w:rPr>
          <w:rFonts w:ascii="Times New Roman" w:hAnsi="Times New Roman"/>
        </w:rPr>
        <w:t>nternos do IFEGM, a deco</w:t>
      </w:r>
      <w:r>
        <w:rPr>
          <w:rFonts w:ascii="Times New Roman" w:hAnsi="Times New Roman"/>
        </w:rPr>
        <w:t>rrer em paralelo com o próprio i</w:t>
      </w:r>
      <w:r w:rsidRPr="00493F70">
        <w:rPr>
          <w:rFonts w:ascii="Times New Roman" w:hAnsi="Times New Roman"/>
        </w:rPr>
        <w:t xml:space="preserve">nternato, que suprisse as </w:t>
      </w:r>
      <w:r w:rsidRPr="00493F70">
        <w:rPr>
          <w:rFonts w:ascii="Times New Roman" w:hAnsi="Times New Roman"/>
          <w:i/>
          <w:iCs/>
        </w:rPr>
        <w:t>fragilidades</w:t>
      </w:r>
      <w:r w:rsidRPr="00493F70">
        <w:rPr>
          <w:rFonts w:ascii="Times New Roman" w:hAnsi="Times New Roman"/>
        </w:rPr>
        <w:t xml:space="preserve"> do programa de formação identificadas nas alíneas «d»</w:t>
      </w:r>
      <w:r w:rsidRPr="00493F70">
        <w:rPr>
          <w:rFonts w:ascii="Times New Roman" w:hAnsi="Times New Roman"/>
          <w:i/>
          <w:iCs/>
        </w:rPr>
        <w:t xml:space="preserve"> </w:t>
      </w:r>
      <w:r w:rsidRPr="00493F70">
        <w:rPr>
          <w:rFonts w:ascii="Times New Roman" w:hAnsi="Times New Roman"/>
        </w:rPr>
        <w:t xml:space="preserve">e «e», constituiria uma </w:t>
      </w:r>
      <w:r w:rsidRPr="00493F70">
        <w:rPr>
          <w:rFonts w:ascii="Times New Roman" w:hAnsi="Times New Roman"/>
          <w:i/>
          <w:iCs/>
        </w:rPr>
        <w:t>oportunidade</w:t>
      </w:r>
      <w:r w:rsidRPr="00493F70">
        <w:rPr>
          <w:rFonts w:ascii="Times New Roman" w:hAnsi="Times New Roman"/>
        </w:rPr>
        <w:t xml:space="preserve"> de valorização e uniformização curricular da formação dos médicos geneticistas portugueses, em que o CEGMOM poderia desempenhar um papel complementar do dos SGM hospitalares com idoneidade formativa. </w:t>
      </w:r>
    </w:p>
    <w:p w14:paraId="46170A4A" w14:textId="77777777" w:rsidR="00D3495C" w:rsidRPr="00493F70" w:rsidRDefault="00D3495C" w:rsidP="00D3495C">
      <w:pPr>
        <w:pStyle w:val="PargrafodaLista"/>
        <w:numPr>
          <w:ilvl w:val="1"/>
          <w:numId w:val="1"/>
        </w:numPr>
        <w:spacing w:after="100"/>
        <w:ind w:left="992" w:hanging="425"/>
        <w:contextualSpacing w:val="0"/>
        <w:jc w:val="both"/>
        <w:rPr>
          <w:rFonts w:ascii="Times New Roman" w:hAnsi="Times New Roman"/>
        </w:rPr>
      </w:pPr>
      <w:r w:rsidRPr="00493F70">
        <w:rPr>
          <w:rFonts w:ascii="Times New Roman" w:hAnsi="Times New Roman"/>
        </w:rPr>
        <w:t xml:space="preserve">A literacia genética constitui outra das </w:t>
      </w:r>
      <w:r w:rsidRPr="00493F70">
        <w:rPr>
          <w:rFonts w:ascii="Times New Roman" w:hAnsi="Times New Roman"/>
          <w:i/>
          <w:iCs/>
        </w:rPr>
        <w:t>forças</w:t>
      </w:r>
      <w:r>
        <w:rPr>
          <w:rFonts w:ascii="Times New Roman" w:hAnsi="Times New Roman"/>
        </w:rPr>
        <w:t xml:space="preserve"> da e</w:t>
      </w:r>
      <w:r w:rsidRPr="00493F70">
        <w:rPr>
          <w:rFonts w:ascii="Times New Roman" w:hAnsi="Times New Roman"/>
        </w:rPr>
        <w:t xml:space="preserve">specialidade, que pode ser adicionalmente encarada como uma </w:t>
      </w:r>
      <w:r w:rsidRPr="00493F70">
        <w:rPr>
          <w:rFonts w:ascii="Times New Roman" w:hAnsi="Times New Roman"/>
          <w:i/>
          <w:iCs/>
        </w:rPr>
        <w:t>oportunidade</w:t>
      </w:r>
      <w:r w:rsidRPr="00493F70">
        <w:rPr>
          <w:rFonts w:ascii="Times New Roman" w:hAnsi="Times New Roman"/>
        </w:rPr>
        <w:t xml:space="preserve">, tendo em vista a perda rápida de literacia genética que se observa na generalidade das especialidades médicas e cirúrgicas. No entanto, a redução do papel do médico geneticista a “intérprete” de linguagem genética para outras especialidades é uma potencial </w:t>
      </w:r>
      <w:r w:rsidRPr="00493F70">
        <w:rPr>
          <w:rFonts w:ascii="Times New Roman" w:hAnsi="Times New Roman"/>
          <w:i/>
          <w:iCs/>
        </w:rPr>
        <w:t>ameaça</w:t>
      </w:r>
      <w:r w:rsidRPr="00493F70">
        <w:rPr>
          <w:rFonts w:ascii="Times New Roman" w:hAnsi="Times New Roman"/>
        </w:rPr>
        <w:t xml:space="preserve">. </w:t>
      </w:r>
    </w:p>
    <w:p w14:paraId="7CF28E4C" w14:textId="77777777" w:rsidR="00D3495C" w:rsidRPr="00493F70" w:rsidRDefault="00D3495C" w:rsidP="00D3495C">
      <w:pPr>
        <w:pStyle w:val="PargrafodaLista"/>
        <w:numPr>
          <w:ilvl w:val="1"/>
          <w:numId w:val="1"/>
        </w:numPr>
        <w:spacing w:after="100"/>
        <w:ind w:left="992" w:hanging="425"/>
        <w:contextualSpacing w:val="0"/>
        <w:jc w:val="both"/>
        <w:rPr>
          <w:rFonts w:ascii="Times New Roman" w:hAnsi="Times New Roman"/>
        </w:rPr>
      </w:pPr>
      <w:r w:rsidRPr="00493F70">
        <w:rPr>
          <w:rFonts w:ascii="Times New Roman" w:hAnsi="Times New Roman"/>
        </w:rPr>
        <w:t xml:space="preserve">Da própria natureza da GM-C resulta uma potencial </w:t>
      </w:r>
      <w:r w:rsidRPr="00493F70">
        <w:rPr>
          <w:rFonts w:ascii="Times New Roman" w:hAnsi="Times New Roman"/>
          <w:i/>
          <w:iCs/>
        </w:rPr>
        <w:t>fragilidade</w:t>
      </w:r>
      <w:r w:rsidRPr="00493F70">
        <w:rPr>
          <w:rFonts w:ascii="Times New Roman" w:hAnsi="Times New Roman"/>
        </w:rPr>
        <w:t>, se a literacia sobre os mecanismos genéticos de doença e da</w:t>
      </w:r>
      <w:r>
        <w:rPr>
          <w:rFonts w:ascii="Times New Roman" w:hAnsi="Times New Roman"/>
        </w:rPr>
        <w:t xml:space="preserve"> sua abordagem operacional na a</w:t>
      </w:r>
      <w:r w:rsidRPr="00493F70">
        <w:rPr>
          <w:rFonts w:ascii="Times New Roman" w:hAnsi="Times New Roman"/>
        </w:rPr>
        <w:t xml:space="preserve">tividade clínica não constituir uma barreira para os médicos de outras especialidades exercerem clínica genética nas áreas de patologia em que se diferenciaram — o que, por enquanto, é parcialmente condicionado por disposição legal, mas que pode reduzir o papel dos médicos geneticistas a rastreios familiares de indivíduos assintomáticos. </w:t>
      </w:r>
    </w:p>
    <w:p w14:paraId="0049FC83" w14:textId="77777777" w:rsidR="00D3495C" w:rsidRPr="00493F70" w:rsidRDefault="00D3495C" w:rsidP="00D3495C">
      <w:pPr>
        <w:pStyle w:val="PargrafodaLista"/>
        <w:numPr>
          <w:ilvl w:val="1"/>
          <w:numId w:val="1"/>
        </w:numPr>
        <w:spacing w:after="100"/>
        <w:ind w:left="992" w:hanging="425"/>
        <w:contextualSpacing w:val="0"/>
        <w:jc w:val="both"/>
        <w:rPr>
          <w:rFonts w:ascii="Times New Roman" w:hAnsi="Times New Roman"/>
        </w:rPr>
      </w:pPr>
      <w:r w:rsidRPr="00493F70">
        <w:rPr>
          <w:rFonts w:ascii="Times New Roman" w:hAnsi="Times New Roman"/>
        </w:rPr>
        <w:t xml:space="preserve">A progressiva “democratização” do acesso aos testes laboratoriais de genética, e a evolução destes no sentido de perda de especificidade nosológica, contribuindo para que muitas das especialidades médicas e cirúrgicas adquirissem cada vez maior autonomia nos processos de diagnóstico </w:t>
      </w:r>
      <w:r>
        <w:rPr>
          <w:rFonts w:ascii="Times New Roman" w:hAnsi="Times New Roman"/>
        </w:rPr>
        <w:t>das doenças genéticas das respe</w:t>
      </w:r>
      <w:r w:rsidRPr="00493F70">
        <w:rPr>
          <w:rFonts w:ascii="Times New Roman" w:hAnsi="Times New Roman"/>
        </w:rPr>
        <w:t xml:space="preserve">tivas áreas de especialização, constitui uma </w:t>
      </w:r>
      <w:r w:rsidRPr="00493F70">
        <w:rPr>
          <w:rFonts w:ascii="Times New Roman" w:hAnsi="Times New Roman"/>
          <w:i/>
          <w:iCs/>
        </w:rPr>
        <w:t>ameaça</w:t>
      </w:r>
      <w:r w:rsidRPr="00493F70">
        <w:rPr>
          <w:rFonts w:ascii="Times New Roman" w:hAnsi="Times New Roman"/>
        </w:rPr>
        <w:t xml:space="preserve">, que poderá levar a que os médicos geneticistas passem a ser encarados como consultores em casos de resultados analíticos inesperados ou de significado clínico incerto. </w:t>
      </w:r>
    </w:p>
    <w:p w14:paraId="3168EDA8" w14:textId="77777777" w:rsidR="00D3495C" w:rsidRPr="00493F70" w:rsidRDefault="00D3495C" w:rsidP="00D3495C">
      <w:pPr>
        <w:pStyle w:val="PargrafodaLista"/>
        <w:numPr>
          <w:ilvl w:val="1"/>
          <w:numId w:val="1"/>
        </w:numPr>
        <w:spacing w:after="100"/>
        <w:ind w:left="992" w:hanging="425"/>
        <w:contextualSpacing w:val="0"/>
        <w:jc w:val="both"/>
        <w:rPr>
          <w:rFonts w:ascii="Times New Roman" w:hAnsi="Times New Roman"/>
        </w:rPr>
      </w:pPr>
      <w:r w:rsidRPr="00493F70">
        <w:rPr>
          <w:rFonts w:ascii="Times New Roman" w:hAnsi="Times New Roman"/>
        </w:rPr>
        <w:t xml:space="preserve">Em sentido inverso, a subespecialização clínica de médicos geneticistas em diferentes áreas de patologia poderá vir a constituir uma </w:t>
      </w:r>
      <w:r w:rsidRPr="00493F70">
        <w:rPr>
          <w:rFonts w:ascii="Times New Roman" w:hAnsi="Times New Roman"/>
          <w:i/>
          <w:iCs/>
        </w:rPr>
        <w:t>oportunidade</w:t>
      </w:r>
      <w:r w:rsidRPr="00493F70">
        <w:rPr>
          <w:rFonts w:ascii="Times New Roman" w:hAnsi="Times New Roman"/>
        </w:rPr>
        <w:t xml:space="preserve">, que merece pertinente reflexão pelo universo de médicos geneticistas portugueses, incentivada e coordenada pelo CEGMOM. </w:t>
      </w:r>
    </w:p>
    <w:p w14:paraId="21720520" w14:textId="77777777" w:rsidR="00D3495C" w:rsidRPr="00493F70" w:rsidRDefault="00D3495C" w:rsidP="00D3495C">
      <w:pPr>
        <w:pStyle w:val="PargrafodaLista"/>
        <w:numPr>
          <w:ilvl w:val="1"/>
          <w:numId w:val="1"/>
        </w:numPr>
        <w:spacing w:after="100"/>
        <w:ind w:left="992" w:hanging="425"/>
        <w:contextualSpacing w:val="0"/>
        <w:jc w:val="both"/>
        <w:rPr>
          <w:rFonts w:ascii="Times New Roman" w:hAnsi="Times New Roman"/>
        </w:rPr>
      </w:pPr>
      <w:r w:rsidRPr="00493F70">
        <w:rPr>
          <w:rFonts w:ascii="Times New Roman" w:hAnsi="Times New Roman"/>
        </w:rPr>
        <w:t xml:space="preserve">Da visão de que a GM-C é uma especialidade de diagnóstico resulta que as terapêuticas específicas para doenças hereditárias monogénicas, que têm vindo a ser disponibilizadas a pouco e pouco — mesmo </w:t>
      </w:r>
      <w:r>
        <w:rPr>
          <w:rFonts w:ascii="Times New Roman" w:hAnsi="Times New Roman"/>
        </w:rPr>
        <w:t>aquelas que se baseiam na corre</w:t>
      </w:r>
      <w:r w:rsidRPr="00493F70">
        <w:rPr>
          <w:rFonts w:ascii="Times New Roman" w:hAnsi="Times New Roman"/>
        </w:rPr>
        <w:t>ção, alteração ou modelação da express</w:t>
      </w:r>
      <w:r>
        <w:rPr>
          <w:rFonts w:ascii="Times New Roman" w:hAnsi="Times New Roman"/>
        </w:rPr>
        <w:t xml:space="preserve">ão génica, aqui designadas </w:t>
      </w:r>
      <w:r>
        <w:rPr>
          <w:rFonts w:ascii="Times New Roman" w:hAnsi="Times New Roman"/>
        </w:rPr>
        <w:lastRenderedPageBreak/>
        <w:t>cole</w:t>
      </w:r>
      <w:r w:rsidRPr="00493F70">
        <w:rPr>
          <w:rFonts w:ascii="Times New Roman" w:hAnsi="Times New Roman"/>
        </w:rPr>
        <w:t xml:space="preserve">tivamente como “terapêuticas genéticas” — são prescritas e monitorizadas por médicos de outras especialidades. A exclusão dos médicos geneticistas da prescrição e monitorização das terapêuticas genéticas é uma óbvia </w:t>
      </w:r>
      <w:r w:rsidRPr="00493F70">
        <w:rPr>
          <w:rFonts w:ascii="Times New Roman" w:hAnsi="Times New Roman"/>
          <w:i/>
          <w:iCs/>
        </w:rPr>
        <w:t>ameaça</w:t>
      </w:r>
      <w:r>
        <w:rPr>
          <w:rFonts w:ascii="Times New Roman" w:hAnsi="Times New Roman"/>
        </w:rPr>
        <w:t xml:space="preserve"> à e</w:t>
      </w:r>
      <w:r w:rsidRPr="00493F70">
        <w:rPr>
          <w:rFonts w:ascii="Times New Roman" w:hAnsi="Times New Roman"/>
        </w:rPr>
        <w:t>specialidade!</w:t>
      </w:r>
    </w:p>
    <w:p w14:paraId="2E3B5C3E" w14:textId="77777777" w:rsidR="00D3495C" w:rsidRPr="00493F70" w:rsidRDefault="00D3495C" w:rsidP="00D3495C">
      <w:pPr>
        <w:pStyle w:val="PargrafodaLista"/>
        <w:numPr>
          <w:ilvl w:val="1"/>
          <w:numId w:val="1"/>
        </w:numPr>
        <w:spacing w:after="100"/>
        <w:ind w:left="992" w:hanging="425"/>
        <w:contextualSpacing w:val="0"/>
        <w:jc w:val="both"/>
        <w:rPr>
          <w:rFonts w:ascii="Times New Roman" w:hAnsi="Times New Roman"/>
        </w:rPr>
      </w:pPr>
      <w:r>
        <w:rPr>
          <w:rFonts w:ascii="Times New Roman" w:hAnsi="Times New Roman"/>
        </w:rPr>
        <w:t>A a</w:t>
      </w:r>
      <w:r w:rsidRPr="00493F70">
        <w:rPr>
          <w:rFonts w:ascii="Times New Roman" w:hAnsi="Times New Roman"/>
        </w:rPr>
        <w:t xml:space="preserve">tividade de outros profissionais de saúde, incluindo farmacêuticos, biólogos e bioquímicos, na área executora do diagnóstico genético laboratorial, faz deles legítimos compartes dos médicos geneticistas no campo da GM (no sentido lato do termo). Embora o conhecimento aprofundado das técnicas laboratoriais de genética disponíveis para aplicação clínica seja um imperativo da formação teórica dos médicos geneticistas, que os capacite para o uso judicioso dos meios de diagnóstico laboratorial postos à sua </w:t>
      </w:r>
      <w:r>
        <w:rPr>
          <w:rFonts w:ascii="Times New Roman" w:hAnsi="Times New Roman"/>
        </w:rPr>
        <w:t>disposição, conhecendo as respe</w:t>
      </w:r>
      <w:r w:rsidRPr="00493F70">
        <w:rPr>
          <w:rFonts w:ascii="Times New Roman" w:hAnsi="Times New Roman"/>
        </w:rPr>
        <w:t xml:space="preserve">tivas limitações e interpretando devidamente os seus resultados, não é necessário que </w:t>
      </w:r>
      <w:bookmarkStart w:id="5" w:name="_Hlk129023330"/>
      <w:r w:rsidRPr="00493F70">
        <w:rPr>
          <w:rFonts w:ascii="Times New Roman" w:hAnsi="Times New Roman"/>
        </w:rPr>
        <w:t xml:space="preserve">os médicos geneticistas os </w:t>
      </w:r>
      <w:bookmarkEnd w:id="5"/>
      <w:r>
        <w:rPr>
          <w:rFonts w:ascii="Times New Roman" w:hAnsi="Times New Roman"/>
        </w:rPr>
        <w:t>saibam executar. Nesta perspe</w:t>
      </w:r>
      <w:r w:rsidRPr="00493F70">
        <w:rPr>
          <w:rFonts w:ascii="Times New Roman" w:hAnsi="Times New Roman"/>
        </w:rPr>
        <w:t xml:space="preserve">tiva, a dedicação de tempo excessivo a estágios </w:t>
      </w:r>
      <w:bookmarkStart w:id="6" w:name="_Hlk129023322"/>
      <w:r w:rsidRPr="00493F70">
        <w:rPr>
          <w:rFonts w:ascii="Times New Roman" w:hAnsi="Times New Roman"/>
        </w:rPr>
        <w:t xml:space="preserve">laboratoriais </w:t>
      </w:r>
      <w:bookmarkEnd w:id="6"/>
      <w:r w:rsidRPr="00493F70">
        <w:rPr>
          <w:rFonts w:ascii="Times New Roman" w:hAnsi="Times New Roman"/>
        </w:rPr>
        <w:t xml:space="preserve">no plano do IFEGM pode ser encarada como uma </w:t>
      </w:r>
      <w:r w:rsidRPr="00493F70">
        <w:rPr>
          <w:rFonts w:ascii="Times New Roman" w:hAnsi="Times New Roman"/>
          <w:i/>
          <w:iCs/>
        </w:rPr>
        <w:t>fraqueza</w:t>
      </w:r>
      <w:r w:rsidRPr="00493F70">
        <w:rPr>
          <w:rFonts w:ascii="Times New Roman" w:hAnsi="Times New Roman"/>
        </w:rPr>
        <w:t xml:space="preserve">, </w:t>
      </w:r>
      <w:r>
        <w:rPr>
          <w:rFonts w:ascii="Times New Roman" w:hAnsi="Times New Roman"/>
        </w:rPr>
        <w:t>a merecer corre</w:t>
      </w:r>
      <w:r w:rsidRPr="00493F70">
        <w:rPr>
          <w:rFonts w:ascii="Times New Roman" w:hAnsi="Times New Roman"/>
        </w:rPr>
        <w:t xml:space="preserve">ção adequada. </w:t>
      </w:r>
    </w:p>
    <w:p w14:paraId="364E722B" w14:textId="77777777" w:rsidR="00D3495C" w:rsidRPr="00493F70" w:rsidRDefault="00D3495C" w:rsidP="00D3495C">
      <w:pPr>
        <w:pStyle w:val="PargrafodaLista"/>
        <w:numPr>
          <w:ilvl w:val="1"/>
          <w:numId w:val="1"/>
        </w:numPr>
        <w:spacing w:after="100"/>
        <w:ind w:left="992" w:hanging="425"/>
        <w:contextualSpacing w:val="0"/>
        <w:jc w:val="both"/>
        <w:rPr>
          <w:rFonts w:ascii="Times New Roman" w:hAnsi="Times New Roman"/>
        </w:rPr>
      </w:pPr>
      <w:r w:rsidRPr="00493F70">
        <w:rPr>
          <w:rFonts w:ascii="Times New Roman" w:hAnsi="Times New Roman"/>
        </w:rPr>
        <w:t xml:space="preserve">Se, por um lado, o eventual alargamento das competências executoras laboratoriais dos médicos geneticistas conflituaria com as de outros profissionais de saúde que trabalham nas áreas laboratoriais de GM (no sentido lato do termo), por outro, o progressivo empoderamento diagnóstico desses outros profissionais na emissão de relatórios de análises laboratoriais de genética, eventualmente consolidado no estatuto legal dessas outras profissões de saúde, deve ser reconhecida como potencial </w:t>
      </w:r>
      <w:r w:rsidRPr="00493F70">
        <w:rPr>
          <w:rFonts w:ascii="Times New Roman" w:hAnsi="Times New Roman"/>
          <w:i/>
          <w:iCs/>
        </w:rPr>
        <w:t>ameaça</w:t>
      </w:r>
      <w:r w:rsidRPr="00493F70">
        <w:rPr>
          <w:rFonts w:ascii="Times New Roman" w:hAnsi="Times New Roman"/>
        </w:rPr>
        <w:t xml:space="preserve">. </w:t>
      </w:r>
    </w:p>
    <w:p w14:paraId="7A7EA592" w14:textId="77777777" w:rsidR="00D3495C" w:rsidRPr="00493F70" w:rsidRDefault="00D3495C" w:rsidP="00D3495C">
      <w:pPr>
        <w:pStyle w:val="PargrafodaLista"/>
        <w:numPr>
          <w:ilvl w:val="1"/>
          <w:numId w:val="1"/>
        </w:numPr>
        <w:spacing w:after="100"/>
        <w:ind w:left="992" w:hanging="425"/>
        <w:contextualSpacing w:val="0"/>
        <w:jc w:val="both"/>
        <w:rPr>
          <w:rFonts w:ascii="Times New Roman" w:hAnsi="Times New Roman"/>
        </w:rPr>
      </w:pPr>
      <w:r w:rsidRPr="00493F70">
        <w:rPr>
          <w:rFonts w:ascii="Times New Roman" w:hAnsi="Times New Roman"/>
        </w:rPr>
        <w:t>A entrada de novas profissões de saúde no campo da GM-C, designadamente dos Conselheiros Genéticos, retirando ao aconselha</w:t>
      </w:r>
      <w:r>
        <w:rPr>
          <w:rFonts w:ascii="Times New Roman" w:hAnsi="Times New Roman"/>
        </w:rPr>
        <w:t>mento genético o estatuto de «a</w:t>
      </w:r>
      <w:r w:rsidRPr="00493F70">
        <w:rPr>
          <w:rFonts w:ascii="Times New Roman" w:hAnsi="Times New Roman"/>
        </w:rPr>
        <w:t xml:space="preserve">to médico», é outra </w:t>
      </w:r>
      <w:r w:rsidRPr="00493F70">
        <w:rPr>
          <w:rFonts w:ascii="Times New Roman" w:hAnsi="Times New Roman"/>
          <w:i/>
          <w:iCs/>
        </w:rPr>
        <w:t>ameaça</w:t>
      </w:r>
      <w:r>
        <w:rPr>
          <w:rFonts w:ascii="Times New Roman" w:hAnsi="Times New Roman"/>
        </w:rPr>
        <w:t xml:space="preserve"> com que a e</w:t>
      </w:r>
      <w:r w:rsidRPr="00493F70">
        <w:rPr>
          <w:rFonts w:ascii="Times New Roman" w:hAnsi="Times New Roman"/>
        </w:rPr>
        <w:t xml:space="preserve">specialidade se depara. Deverá o plano do IFEGM reforçar as competências dos </w:t>
      </w:r>
      <w:r>
        <w:rPr>
          <w:rFonts w:ascii="Times New Roman" w:hAnsi="Times New Roman"/>
        </w:rPr>
        <w:t>médicos i</w:t>
      </w:r>
      <w:r w:rsidRPr="00493F70">
        <w:rPr>
          <w:rFonts w:ascii="Times New Roman" w:hAnsi="Times New Roman"/>
        </w:rPr>
        <w:t xml:space="preserve">nternos em aconselhamento genético ou, ao invés, delegar essa função noutros profissionais de saúde? </w:t>
      </w:r>
    </w:p>
    <w:p w14:paraId="67A2DCF4" w14:textId="77777777" w:rsidR="00D3495C" w:rsidRPr="00493F70" w:rsidRDefault="00D3495C" w:rsidP="00D3495C">
      <w:pPr>
        <w:pStyle w:val="PargrafodaLista"/>
        <w:numPr>
          <w:ilvl w:val="1"/>
          <w:numId w:val="1"/>
        </w:numPr>
        <w:spacing w:after="100"/>
        <w:ind w:left="992" w:hanging="425"/>
        <w:contextualSpacing w:val="0"/>
        <w:jc w:val="both"/>
        <w:rPr>
          <w:rFonts w:ascii="Times New Roman" w:hAnsi="Times New Roman"/>
        </w:rPr>
      </w:pPr>
      <w:r w:rsidRPr="00493F70">
        <w:rPr>
          <w:rFonts w:ascii="Times New Roman" w:hAnsi="Times New Roman"/>
        </w:rPr>
        <w:t>Num cenário de empoderamento diagnóstico dos geneticistas laboratoriais, é plausível imaginar q</w:t>
      </w:r>
      <w:r>
        <w:rPr>
          <w:rFonts w:ascii="Times New Roman" w:hAnsi="Times New Roman"/>
        </w:rPr>
        <w:t>ue possa haver comunicação dire</w:t>
      </w:r>
      <w:r w:rsidRPr="00493F70">
        <w:rPr>
          <w:rFonts w:ascii="Times New Roman" w:hAnsi="Times New Roman"/>
        </w:rPr>
        <w:t xml:space="preserve">ta de resultados de testes de diagnóstico genético a Conselheiros Genéticos, particularmente se os testes tiverem sido prescritos por médicos não-geneticistas, </w:t>
      </w:r>
      <w:r>
        <w:rPr>
          <w:rFonts w:ascii="Times New Roman" w:hAnsi="Times New Roman"/>
        </w:rPr>
        <w:t xml:space="preserve">o que constitui outra </w:t>
      </w:r>
      <w:r w:rsidRPr="00F46F1D">
        <w:rPr>
          <w:rFonts w:ascii="Times New Roman" w:hAnsi="Times New Roman"/>
          <w:i/>
        </w:rPr>
        <w:t>ameaça</w:t>
      </w:r>
      <w:r w:rsidRPr="00493F70">
        <w:rPr>
          <w:rFonts w:ascii="Times New Roman" w:hAnsi="Times New Roman"/>
        </w:rPr>
        <w:t xml:space="preserve"> </w:t>
      </w:r>
      <w:r>
        <w:rPr>
          <w:rFonts w:ascii="Times New Roman" w:hAnsi="Times New Roman"/>
        </w:rPr>
        <w:t xml:space="preserve">por poder </w:t>
      </w:r>
      <w:r w:rsidRPr="00493F70">
        <w:rPr>
          <w:rFonts w:ascii="Times New Roman" w:hAnsi="Times New Roman"/>
        </w:rPr>
        <w:t>t</w:t>
      </w:r>
      <w:r>
        <w:rPr>
          <w:rFonts w:ascii="Times New Roman" w:hAnsi="Times New Roman"/>
        </w:rPr>
        <w:t>ornar</w:t>
      </w:r>
      <w:r w:rsidRPr="00493F70">
        <w:rPr>
          <w:rFonts w:ascii="Times New Roman" w:hAnsi="Times New Roman"/>
        </w:rPr>
        <w:t xml:space="preserve"> dispensáveis os médicos geneticistas </w:t>
      </w:r>
      <w:r>
        <w:rPr>
          <w:rFonts w:ascii="Times New Roman" w:hAnsi="Times New Roman"/>
        </w:rPr>
        <w:t>em</w:t>
      </w:r>
      <w:r w:rsidRPr="00493F70">
        <w:rPr>
          <w:rFonts w:ascii="Times New Roman" w:hAnsi="Times New Roman"/>
        </w:rPr>
        <w:t xml:space="preserve"> todas as fases do processo de diagnóstico e aconselhamento genético. </w:t>
      </w:r>
    </w:p>
    <w:p w14:paraId="6E0373D9" w14:textId="77777777" w:rsidR="00D3495C" w:rsidRDefault="00D3495C" w:rsidP="00D3495C">
      <w:pPr>
        <w:spacing w:after="100"/>
        <w:jc w:val="both"/>
      </w:pPr>
    </w:p>
    <w:p w14:paraId="4144D3C3" w14:textId="5D76ADBE" w:rsidR="00605514" w:rsidRPr="00605514" w:rsidRDefault="00605514" w:rsidP="00D3495C">
      <w:pPr>
        <w:jc w:val="both"/>
        <w:rPr>
          <w:rFonts w:ascii="Work Sans" w:hAnsi="Work Sans"/>
          <w:sz w:val="19"/>
          <w:szCs w:val="19"/>
        </w:rPr>
      </w:pPr>
    </w:p>
    <w:sectPr w:rsidR="00605514" w:rsidRPr="00605514" w:rsidSect="00764BA7">
      <w:headerReference w:type="default" r:id="rId8"/>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FEAD" w14:textId="77777777" w:rsidR="007565E8" w:rsidRDefault="007565E8" w:rsidP="00306039">
      <w:r>
        <w:separator/>
      </w:r>
    </w:p>
  </w:endnote>
  <w:endnote w:type="continuationSeparator" w:id="0">
    <w:p w14:paraId="2FB70C01" w14:textId="77777777" w:rsidR="007565E8" w:rsidRDefault="007565E8" w:rsidP="0030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75EC" w14:textId="77777777" w:rsidR="007565E8" w:rsidRDefault="007565E8" w:rsidP="00306039">
      <w:r>
        <w:separator/>
      </w:r>
    </w:p>
  </w:footnote>
  <w:footnote w:type="continuationSeparator" w:id="0">
    <w:p w14:paraId="0D4C90F3" w14:textId="77777777" w:rsidR="007565E8" w:rsidRDefault="007565E8" w:rsidP="0030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3138" w14:textId="717D798F" w:rsidR="00306039" w:rsidRDefault="00764BA7" w:rsidP="00764BA7">
    <w:pPr>
      <w:pStyle w:val="Cabealho"/>
      <w:ind w:left="-1701"/>
    </w:pPr>
    <w:r>
      <w:rPr>
        <w:noProof/>
      </w:rPr>
      <w:drawing>
        <wp:inline distT="0" distB="0" distL="0" distR="0" wp14:anchorId="75AD6805" wp14:editId="2B25D620">
          <wp:extent cx="7547918" cy="1521758"/>
          <wp:effectExtent l="0" t="0" r="0" b="2540"/>
          <wp:docPr id="56905866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58668" name="Imagem 6"/>
                  <pic:cNvPicPr/>
                </pic:nvPicPr>
                <pic:blipFill>
                  <a:blip r:embed="rId1">
                    <a:extLst>
                      <a:ext uri="{28A0092B-C50C-407E-A947-70E740481C1C}">
                        <a14:useLocalDpi xmlns:a14="http://schemas.microsoft.com/office/drawing/2010/main" val="0"/>
                      </a:ext>
                    </a:extLst>
                  </a:blip>
                  <a:stretch>
                    <a:fillRect/>
                  </a:stretch>
                </pic:blipFill>
                <pic:spPr>
                  <a:xfrm>
                    <a:off x="0" y="0"/>
                    <a:ext cx="7595945" cy="15314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91EAE"/>
    <w:multiLevelType w:val="multilevel"/>
    <w:tmpl w:val="7662F1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6045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39"/>
    <w:rsid w:val="000E5B57"/>
    <w:rsid w:val="00306039"/>
    <w:rsid w:val="00377B9E"/>
    <w:rsid w:val="003B7E24"/>
    <w:rsid w:val="003C2BE7"/>
    <w:rsid w:val="003C3D11"/>
    <w:rsid w:val="00605514"/>
    <w:rsid w:val="00625116"/>
    <w:rsid w:val="007347CE"/>
    <w:rsid w:val="007565E8"/>
    <w:rsid w:val="00764BA7"/>
    <w:rsid w:val="00B61DCE"/>
    <w:rsid w:val="00BD7E3F"/>
    <w:rsid w:val="00D275CD"/>
    <w:rsid w:val="00D3495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1A0E8"/>
  <w15:chartTrackingRefBased/>
  <w15:docId w15:val="{2BA1ADF6-1691-284E-BB65-039629EE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306039"/>
    <w:pPr>
      <w:tabs>
        <w:tab w:val="center" w:pos="4252"/>
        <w:tab w:val="right" w:pos="8504"/>
      </w:tabs>
    </w:pPr>
  </w:style>
  <w:style w:type="character" w:customStyle="1" w:styleId="CabealhoCarter">
    <w:name w:val="Cabeçalho Caráter"/>
    <w:basedOn w:val="Tipodeletrapredefinidodopargrafo"/>
    <w:link w:val="Cabealho"/>
    <w:uiPriority w:val="99"/>
    <w:rsid w:val="00306039"/>
  </w:style>
  <w:style w:type="paragraph" w:styleId="Rodap">
    <w:name w:val="footer"/>
    <w:basedOn w:val="Normal"/>
    <w:link w:val="RodapCarter"/>
    <w:uiPriority w:val="99"/>
    <w:unhideWhenUsed/>
    <w:rsid w:val="00306039"/>
    <w:pPr>
      <w:tabs>
        <w:tab w:val="center" w:pos="4252"/>
        <w:tab w:val="right" w:pos="8504"/>
      </w:tabs>
    </w:pPr>
  </w:style>
  <w:style w:type="character" w:customStyle="1" w:styleId="RodapCarter">
    <w:name w:val="Rodapé Caráter"/>
    <w:basedOn w:val="Tipodeletrapredefinidodopargrafo"/>
    <w:link w:val="Rodap"/>
    <w:uiPriority w:val="99"/>
    <w:rsid w:val="00306039"/>
  </w:style>
  <w:style w:type="character" w:styleId="nfase">
    <w:name w:val="Emphasis"/>
    <w:basedOn w:val="Tipodeletrapredefinidodopargrafo"/>
    <w:uiPriority w:val="20"/>
    <w:qFormat/>
    <w:rsid w:val="00D3495C"/>
    <w:rPr>
      <w:i/>
      <w:iCs/>
    </w:rPr>
  </w:style>
  <w:style w:type="paragraph" w:styleId="PargrafodaLista">
    <w:name w:val="List Paragraph"/>
    <w:basedOn w:val="Normal"/>
    <w:uiPriority w:val="34"/>
    <w:qFormat/>
    <w:rsid w:val="00D3495C"/>
    <w:pPr>
      <w:suppressAutoHyphens/>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397953">
      <w:bodyDiv w:val="1"/>
      <w:marLeft w:val="0"/>
      <w:marRight w:val="0"/>
      <w:marTop w:val="0"/>
      <w:marBottom w:val="0"/>
      <w:divBdr>
        <w:top w:val="none" w:sz="0" w:space="0" w:color="auto"/>
        <w:left w:val="none" w:sz="0" w:space="0" w:color="auto"/>
        <w:bottom w:val="none" w:sz="0" w:space="0" w:color="auto"/>
        <w:right w:val="none" w:sz="0" w:space="0" w:color="auto"/>
      </w:divBdr>
    </w:div>
    <w:div w:id="198994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13CC2-A29A-C64E-B434-1B4861F8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2592</Words>
  <Characters>14000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dc:creator>
  <cp:keywords/>
  <dc:description/>
  <cp:lastModifiedBy>Maria do Céu</cp:lastModifiedBy>
  <cp:revision>2</cp:revision>
  <cp:lastPrinted>2023-08-07T14:49:00Z</cp:lastPrinted>
  <dcterms:created xsi:type="dcterms:W3CDTF">2024-02-19T10:20:00Z</dcterms:created>
  <dcterms:modified xsi:type="dcterms:W3CDTF">2024-02-19T10:20:00Z</dcterms:modified>
</cp:coreProperties>
</file>